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D6" w:rsidRPr="005E4CD6" w:rsidRDefault="005E4CD6" w:rsidP="005E4CD6">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5E4CD6">
        <w:rPr>
          <w:rFonts w:ascii="Arial" w:eastAsia="Times New Roman" w:hAnsi="Arial" w:cs="Arial"/>
          <w:b/>
          <w:bCs/>
          <w:color w:val="2D2D2D"/>
          <w:kern w:val="36"/>
          <w:sz w:val="46"/>
          <w:szCs w:val="46"/>
          <w:lang w:eastAsia="ru-RU"/>
        </w:rPr>
        <w:t>Об утверждении Энергетической стратегии России на период до 2030 года</w:t>
      </w:r>
    </w:p>
    <w:p w:rsidR="005E4CD6" w:rsidRPr="005E4CD6" w:rsidRDefault="005E4CD6" w:rsidP="005E4CD6">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5E4CD6">
        <w:rPr>
          <w:rFonts w:ascii="Arial" w:eastAsia="Times New Roman" w:hAnsi="Arial" w:cs="Arial"/>
          <w:color w:val="3C3C3C"/>
          <w:spacing w:val="2"/>
          <w:sz w:val="41"/>
          <w:szCs w:val="41"/>
          <w:lang w:eastAsia="ru-RU"/>
        </w:rPr>
        <w:t>ПРАВИТЕЛЬСТВО РОССИЙСКОЙ ФЕДЕРАЦИИ</w:t>
      </w:r>
    </w:p>
    <w:p w:rsidR="005E4CD6" w:rsidRPr="005E4CD6" w:rsidRDefault="005E4CD6" w:rsidP="005E4CD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E4CD6">
        <w:rPr>
          <w:rFonts w:ascii="Arial" w:eastAsia="Times New Roman" w:hAnsi="Arial" w:cs="Arial"/>
          <w:color w:val="3C3C3C"/>
          <w:spacing w:val="2"/>
          <w:sz w:val="41"/>
          <w:szCs w:val="41"/>
          <w:lang w:eastAsia="ru-RU"/>
        </w:rPr>
        <w:t>     </w:t>
      </w:r>
      <w:r w:rsidRPr="005E4CD6">
        <w:rPr>
          <w:rFonts w:ascii="Arial" w:eastAsia="Times New Roman" w:hAnsi="Arial" w:cs="Arial"/>
          <w:color w:val="3C3C3C"/>
          <w:spacing w:val="2"/>
          <w:sz w:val="41"/>
          <w:szCs w:val="41"/>
          <w:lang w:eastAsia="ru-RU"/>
        </w:rPr>
        <w:br/>
        <w:t>РАСПОРЯЖЕНИЕ</w:t>
      </w:r>
    </w:p>
    <w:p w:rsidR="005E4CD6" w:rsidRPr="005E4CD6" w:rsidRDefault="005E4CD6" w:rsidP="005E4CD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E4CD6">
        <w:rPr>
          <w:rFonts w:ascii="Arial" w:eastAsia="Times New Roman" w:hAnsi="Arial" w:cs="Arial"/>
          <w:color w:val="3C3C3C"/>
          <w:spacing w:val="2"/>
          <w:sz w:val="41"/>
          <w:szCs w:val="41"/>
          <w:lang w:eastAsia="ru-RU"/>
        </w:rPr>
        <w:t>     </w:t>
      </w:r>
      <w:r w:rsidRPr="005E4CD6">
        <w:rPr>
          <w:rFonts w:ascii="Arial" w:eastAsia="Times New Roman" w:hAnsi="Arial" w:cs="Arial"/>
          <w:color w:val="3C3C3C"/>
          <w:spacing w:val="2"/>
          <w:sz w:val="41"/>
          <w:szCs w:val="41"/>
          <w:lang w:eastAsia="ru-RU"/>
        </w:rPr>
        <w:br/>
        <w:t>от 13 ноября 2009 года N 1715-р</w:t>
      </w:r>
    </w:p>
    <w:p w:rsidR="005E4CD6" w:rsidRPr="005E4CD6" w:rsidRDefault="005E4CD6" w:rsidP="005E4CD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5E4CD6">
        <w:rPr>
          <w:rFonts w:ascii="Arial" w:eastAsia="Times New Roman" w:hAnsi="Arial" w:cs="Arial"/>
          <w:color w:val="3C3C3C"/>
          <w:spacing w:val="2"/>
          <w:sz w:val="41"/>
          <w:szCs w:val="41"/>
          <w:lang w:eastAsia="ru-RU"/>
        </w:rPr>
        <w:t>     </w:t>
      </w:r>
      <w:r w:rsidRPr="005E4CD6">
        <w:rPr>
          <w:rFonts w:ascii="Arial" w:eastAsia="Times New Roman" w:hAnsi="Arial" w:cs="Arial"/>
          <w:color w:val="3C3C3C"/>
          <w:spacing w:val="2"/>
          <w:sz w:val="41"/>
          <w:szCs w:val="41"/>
          <w:lang w:eastAsia="ru-RU"/>
        </w:rPr>
        <w:br/>
        <w:t>      </w:t>
      </w:r>
      <w:r w:rsidRPr="005E4CD6">
        <w:rPr>
          <w:rFonts w:ascii="Arial" w:eastAsia="Times New Roman" w:hAnsi="Arial" w:cs="Arial"/>
          <w:color w:val="3C3C3C"/>
          <w:spacing w:val="2"/>
          <w:sz w:val="41"/>
          <w:szCs w:val="41"/>
          <w:lang w:eastAsia="ru-RU"/>
        </w:rPr>
        <w:br/>
        <w:t>[Об утверждении Энергетической стратегии России на период до 2030 года]</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1. Утвердить прилагаемую Энергетическую стратегию России на период до 2030 года (далее - Стратегия).</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2. Минэнерго России, Минэкономразвития России, Минприроды России и Государственной корпорации по атомной энергии "Росатом" обеспечить реализацию мероприятий, предусмотренных Стратегией, и ежегодно, в I квартале, представлять в Правительство Российской Федерации соответствующий доклад.</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3. Минэкономразвития России и Минэнерго России при подготовке плана действий по реализации основных направлений деятельности Правительства Российской Федерации на соответствующий период включать в указанный план мероприятия, предусмотренные Стратегией.</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4. Рекомендовать органам исполнительной власти субъектов Российской Федерации в пределах своей компетенции при формировании региональных программ развития предусматривать меры по реализации мероприятий, предусмотренных Стратегией.</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5. Признать утратившими силу: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hyperlink r:id="rId4" w:history="1">
        <w:r w:rsidRPr="005E4CD6">
          <w:rPr>
            <w:rFonts w:ascii="Arial" w:eastAsia="Times New Roman" w:hAnsi="Arial" w:cs="Arial"/>
            <w:color w:val="00466E"/>
            <w:spacing w:val="2"/>
            <w:sz w:val="21"/>
            <w:szCs w:val="21"/>
            <w:u w:val="single"/>
            <w:lang w:eastAsia="ru-RU"/>
          </w:rPr>
          <w:t>распоряжение Правительства Российской Федерации от 28 августа 2003 года N 1234-р</w:t>
        </w:r>
      </w:hyperlink>
      <w:r w:rsidRPr="005E4CD6">
        <w:rPr>
          <w:rFonts w:ascii="Arial" w:eastAsia="Times New Roman" w:hAnsi="Arial" w:cs="Arial"/>
          <w:color w:val="2D2D2D"/>
          <w:spacing w:val="2"/>
          <w:sz w:val="21"/>
          <w:szCs w:val="21"/>
          <w:lang w:eastAsia="ru-RU"/>
        </w:rPr>
        <w:t> (Собрание законодательства Российской Федерации, 2003, N 36, ст.3531);</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hyperlink r:id="rId5" w:history="1">
        <w:r w:rsidRPr="005E4CD6">
          <w:rPr>
            <w:rFonts w:ascii="Arial" w:eastAsia="Times New Roman" w:hAnsi="Arial" w:cs="Arial"/>
            <w:color w:val="00466E"/>
            <w:spacing w:val="2"/>
            <w:sz w:val="21"/>
            <w:szCs w:val="21"/>
            <w:u w:val="single"/>
            <w:lang w:eastAsia="ru-RU"/>
          </w:rPr>
          <w:t>пункт 2 распоряжения Правительства Российской Федерации от 15 июня 2009 года N 799-р</w:t>
        </w:r>
      </w:hyperlink>
      <w:r w:rsidRPr="005E4CD6">
        <w:rPr>
          <w:rFonts w:ascii="Arial" w:eastAsia="Times New Roman" w:hAnsi="Arial" w:cs="Arial"/>
          <w:color w:val="2D2D2D"/>
          <w:spacing w:val="2"/>
          <w:sz w:val="21"/>
          <w:szCs w:val="21"/>
          <w:lang w:eastAsia="ru-RU"/>
        </w:rPr>
        <w:t> (Собрание законодательства Российской Федерации, 2009, N 25, ст.3111).</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Председатель Правительства</w:t>
      </w:r>
      <w:r w:rsidRPr="005E4CD6">
        <w:rPr>
          <w:rFonts w:ascii="Arial" w:eastAsia="Times New Roman" w:hAnsi="Arial" w:cs="Arial"/>
          <w:color w:val="2D2D2D"/>
          <w:spacing w:val="2"/>
          <w:sz w:val="21"/>
          <w:szCs w:val="21"/>
          <w:lang w:eastAsia="ru-RU"/>
        </w:rPr>
        <w:br/>
        <w:t>Российской Федерации</w:t>
      </w:r>
      <w:r w:rsidRPr="005E4CD6">
        <w:rPr>
          <w:rFonts w:ascii="Arial" w:eastAsia="Times New Roman" w:hAnsi="Arial" w:cs="Arial"/>
          <w:color w:val="2D2D2D"/>
          <w:spacing w:val="2"/>
          <w:sz w:val="21"/>
          <w:szCs w:val="21"/>
          <w:lang w:eastAsia="ru-RU"/>
        </w:rPr>
        <w:br/>
        <w:t>В.Путин</w:t>
      </w:r>
    </w:p>
    <w:p w:rsidR="005E4CD6" w:rsidRPr="005E4CD6" w:rsidRDefault="005E4CD6" w:rsidP="005E4CD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5E4CD6">
        <w:rPr>
          <w:rFonts w:ascii="Arial" w:eastAsia="Times New Roman" w:hAnsi="Arial" w:cs="Arial"/>
          <w:color w:val="3C3C3C"/>
          <w:spacing w:val="2"/>
          <w:sz w:val="41"/>
          <w:szCs w:val="41"/>
          <w:lang w:eastAsia="ru-RU"/>
        </w:rPr>
        <w:t>Энергетическая стратегия России на период до 2030 года</w:t>
      </w:r>
    </w:p>
    <w:p w:rsidR="005E4CD6" w:rsidRPr="005E4CD6" w:rsidRDefault="005E4CD6" w:rsidP="005E4C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УТВЕРЖДЕНА</w:t>
      </w:r>
      <w:r w:rsidRPr="005E4CD6">
        <w:rPr>
          <w:rFonts w:ascii="Arial" w:eastAsia="Times New Roman" w:hAnsi="Arial" w:cs="Arial"/>
          <w:color w:val="2D2D2D"/>
          <w:spacing w:val="2"/>
          <w:sz w:val="21"/>
          <w:szCs w:val="21"/>
          <w:lang w:eastAsia="ru-RU"/>
        </w:rPr>
        <w:br/>
        <w:t>распоряжением Правительства</w:t>
      </w:r>
      <w:r w:rsidRPr="005E4CD6">
        <w:rPr>
          <w:rFonts w:ascii="Arial" w:eastAsia="Times New Roman" w:hAnsi="Arial" w:cs="Arial"/>
          <w:color w:val="2D2D2D"/>
          <w:spacing w:val="2"/>
          <w:sz w:val="21"/>
          <w:szCs w:val="21"/>
          <w:lang w:eastAsia="ru-RU"/>
        </w:rPr>
        <w:br/>
        <w:t>Российской Федерации</w:t>
      </w:r>
      <w:r w:rsidRPr="005E4CD6">
        <w:rPr>
          <w:rFonts w:ascii="Arial" w:eastAsia="Times New Roman" w:hAnsi="Arial" w:cs="Arial"/>
          <w:color w:val="2D2D2D"/>
          <w:spacing w:val="2"/>
          <w:sz w:val="21"/>
          <w:szCs w:val="21"/>
          <w:lang w:eastAsia="ru-RU"/>
        </w:rPr>
        <w:br/>
        <w:t>от 13 ноября 2009 года N 1715-р</w:t>
      </w:r>
    </w:p>
    <w:p w:rsidR="005E4CD6" w:rsidRPr="005E4CD6" w:rsidRDefault="005E4CD6" w:rsidP="005E4CD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4CD6">
        <w:rPr>
          <w:rFonts w:ascii="Arial" w:eastAsia="Times New Roman" w:hAnsi="Arial" w:cs="Arial"/>
          <w:color w:val="4C4C4C"/>
          <w:spacing w:val="2"/>
          <w:sz w:val="38"/>
          <w:szCs w:val="38"/>
          <w:lang w:eastAsia="ru-RU"/>
        </w:rPr>
        <w:t>I. Введение</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Целью энергетической политики России является максимально эффективное использование природных энергетических ресурсов и потенциала энергетического сектора для устойчивого роста экономики, повышения качества жизни населения страны и содействия укреплению ее внешнеэкономических позиций.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Настоящая Стратегия определяет цели и задачи долгосрочного развития энергетического сектора страны на предстоящий период, приоритеты и ориентиры, а также механизмы государственной энергетической политики на отдельных этапах ее реализации, обеспечивающие достижение намеченных целей.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ходе реализации </w:t>
      </w:r>
      <w:hyperlink r:id="rId6" w:history="1">
        <w:r w:rsidRPr="005E4CD6">
          <w:rPr>
            <w:rFonts w:ascii="Arial" w:eastAsia="Times New Roman" w:hAnsi="Arial" w:cs="Arial"/>
            <w:color w:val="00466E"/>
            <w:spacing w:val="2"/>
            <w:sz w:val="21"/>
            <w:szCs w:val="21"/>
            <w:u w:val="single"/>
            <w:lang w:eastAsia="ru-RU"/>
          </w:rPr>
          <w:t>Энергетической стратегии России на период до 2020 года</w:t>
        </w:r>
      </w:hyperlink>
      <w:r w:rsidRPr="005E4CD6">
        <w:rPr>
          <w:rFonts w:ascii="Arial" w:eastAsia="Times New Roman" w:hAnsi="Arial" w:cs="Arial"/>
          <w:color w:val="2D2D2D"/>
          <w:spacing w:val="2"/>
          <w:sz w:val="21"/>
          <w:szCs w:val="21"/>
          <w:lang w:eastAsia="ru-RU"/>
        </w:rPr>
        <w:t>, утвержденной </w:t>
      </w:r>
      <w:hyperlink r:id="rId7" w:history="1">
        <w:r w:rsidRPr="005E4CD6">
          <w:rPr>
            <w:rFonts w:ascii="Arial" w:eastAsia="Times New Roman" w:hAnsi="Arial" w:cs="Arial"/>
            <w:color w:val="00466E"/>
            <w:spacing w:val="2"/>
            <w:sz w:val="21"/>
            <w:szCs w:val="21"/>
            <w:u w:val="single"/>
            <w:lang w:eastAsia="ru-RU"/>
          </w:rPr>
          <w:t>распоряжением Правительства Российской Федерации от 28 августа 2003 года N 1234-р</w:t>
        </w:r>
      </w:hyperlink>
      <w:r w:rsidRPr="005E4CD6">
        <w:rPr>
          <w:rFonts w:ascii="Arial" w:eastAsia="Times New Roman" w:hAnsi="Arial" w:cs="Arial"/>
          <w:color w:val="2D2D2D"/>
          <w:spacing w:val="2"/>
          <w:sz w:val="21"/>
          <w:szCs w:val="21"/>
          <w:lang w:eastAsia="ru-RU"/>
        </w:rPr>
        <w:t>, была подтверждена адекватность большинства ее важнейших положений реальному процессу развития энергетического сектора страны даже в условиях резких изменений внешних и внутренних факторов, определяющих основные параметры функционирования топливно-энергетического комплекса России. При этом предусматривалось осуществлять внесение необходимых изменений в указанную Стратегию не реже одного раза в 5 лет.</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Настоящая Стратегия обеспечивает расширение временного горизонта до 2030 года в соответствии с новыми задачами и приоритетами развития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Настоящая Стратегия формирует новые ориентиры развития энергетического сектора в рамках перехода российской экономики на инновационный путь развития, предусмотренный </w:t>
      </w:r>
      <w:hyperlink r:id="rId8" w:history="1">
        <w:r w:rsidRPr="005E4CD6">
          <w:rPr>
            <w:rFonts w:ascii="Arial" w:eastAsia="Times New Roman" w:hAnsi="Arial" w:cs="Arial"/>
            <w:color w:val="00466E"/>
            <w:spacing w:val="2"/>
            <w:sz w:val="21"/>
            <w:szCs w:val="21"/>
            <w:u w:val="single"/>
            <w:lang w:eastAsia="ru-RU"/>
          </w:rPr>
          <w:t>Концепцией долгосрочного социально-экономического развития Российской Федерации до 2020 года</w:t>
        </w:r>
      </w:hyperlink>
      <w:r w:rsidRPr="005E4CD6">
        <w:rPr>
          <w:rFonts w:ascii="Arial" w:eastAsia="Times New Roman" w:hAnsi="Arial" w:cs="Arial"/>
          <w:color w:val="2D2D2D"/>
          <w:spacing w:val="2"/>
          <w:sz w:val="21"/>
          <w:szCs w:val="21"/>
          <w:lang w:eastAsia="ru-RU"/>
        </w:rPr>
        <w:t>, утвержденной </w:t>
      </w:r>
      <w:hyperlink r:id="rId9" w:history="1">
        <w:r w:rsidRPr="005E4CD6">
          <w:rPr>
            <w:rFonts w:ascii="Arial" w:eastAsia="Times New Roman" w:hAnsi="Arial" w:cs="Arial"/>
            <w:color w:val="00466E"/>
            <w:spacing w:val="2"/>
            <w:sz w:val="21"/>
            <w:szCs w:val="21"/>
            <w:u w:val="single"/>
            <w:lang w:eastAsia="ru-RU"/>
          </w:rPr>
          <w:t xml:space="preserve">распоряжением Правительства </w:t>
        </w:r>
        <w:r w:rsidRPr="005E4CD6">
          <w:rPr>
            <w:rFonts w:ascii="Arial" w:eastAsia="Times New Roman" w:hAnsi="Arial" w:cs="Arial"/>
            <w:color w:val="00466E"/>
            <w:spacing w:val="2"/>
            <w:sz w:val="21"/>
            <w:szCs w:val="21"/>
            <w:u w:val="single"/>
            <w:lang w:eastAsia="ru-RU"/>
          </w:rPr>
          <w:lastRenderedPageBreak/>
          <w:t>Российской Федерации от 17 ноября 2008 года N 1662-р</w:t>
        </w:r>
      </w:hyperlink>
      <w:r w:rsidRPr="005E4CD6">
        <w:rPr>
          <w:rFonts w:ascii="Arial" w:eastAsia="Times New Roman" w:hAnsi="Arial" w:cs="Arial"/>
          <w:color w:val="2D2D2D"/>
          <w:spacing w:val="2"/>
          <w:sz w:val="21"/>
          <w:szCs w:val="21"/>
          <w:lang w:eastAsia="ru-RU"/>
        </w:rPr>
        <w:t> (далее - </w:t>
      </w:r>
      <w:hyperlink r:id="rId10" w:history="1">
        <w:r w:rsidRPr="005E4CD6">
          <w:rPr>
            <w:rFonts w:ascii="Arial" w:eastAsia="Times New Roman" w:hAnsi="Arial" w:cs="Arial"/>
            <w:color w:val="00466E"/>
            <w:spacing w:val="2"/>
            <w:sz w:val="21"/>
            <w:szCs w:val="21"/>
            <w:u w:val="single"/>
            <w:lang w:eastAsia="ru-RU"/>
          </w:rPr>
          <w:t>Концепция</w:t>
        </w:r>
      </w:hyperlink>
      <w:r w:rsidRPr="005E4CD6">
        <w:rPr>
          <w:rFonts w:ascii="Arial" w:eastAsia="Times New Roman" w:hAnsi="Arial" w:cs="Arial"/>
          <w:color w:val="2D2D2D"/>
          <w:spacing w:val="2"/>
          <w:sz w:val="21"/>
          <w:szCs w:val="21"/>
          <w:lang w:eastAsia="ru-RU"/>
        </w:rPr>
        <w:t>).</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Положения настоящей Стратегии используются при разработке и корректировке программ социально-экономического развития, энергетических стратегий и программ субъектов Российской Федерации, комплексных программ по энергетическому освоению регионов Восточной Сибири и Дальнего Востока, Северо-Западного региона России, полуострова Ямал и континентального шельфа Российской Федерации, при разработке и корректировке генеральных схем развития отдельных отраслей топливно-энергетического комплекса, программ геологического изучения регионов страны, при подготовке и корректировке параметров инвестиционных программ и крупных проектов компаний энергетического сектора.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Настоящая Стратегия базируется как на оценке опыта реализации Энергетической стратегии России на период до 2020 года, так и на анализе существующих тенденций и новых системных вызовов развитию энергетики, учитывает возможные колебания внешних и внутренних условий экономического развития России. При этом представленные в Концепции важнейшие цели и долгосрочные качественные ориентиры перехода экономики страны на инновационный путь развития рассматриваются как инвариантные, несмотря на возможные последствия начавшегося в 2008 году глобального экономического кризиса. Те же требования предъявляются к важнейшим целям и долгосрочным качественным ориентирам настоящей Стратегии.</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В рамках настоящей Стратегии представлены: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текущие результаты реализации Энергетической стратегии России на период до 2020 года и целевое видение настоящей Стратегии;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основные тенденции и прогнозные оценки социально-экономического развития страны, а также взаимодействия экономики и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перспективы спроса на российские энергоресурсы;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основные положения государственной энергетической политики и ее важнейших составляющих;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перспективы развития топливно-энергетического комплекса России;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ожидаемые результаты и система реализации настоящей Стратегии.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Количественные параметры развития экономики и энергетики подлежат уточнению в процессе реализации предусмотренных настоящей Стратегией мер.</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4CD6">
        <w:rPr>
          <w:rFonts w:ascii="Arial" w:eastAsia="Times New Roman" w:hAnsi="Arial" w:cs="Arial"/>
          <w:color w:val="4C4C4C"/>
          <w:spacing w:val="2"/>
          <w:sz w:val="38"/>
          <w:szCs w:val="38"/>
          <w:lang w:eastAsia="ru-RU"/>
        </w:rPr>
        <w:lastRenderedPageBreak/>
        <w:t>II. Текущие результаты реализации Энергетической стратегии России на период до 2020 года, цели и задачи настоящей Стратегии</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Главными векторами перспективного развития отраслей топливно-энергетического комплекса, предусмотренными Энергетической стратегией России на период до 2020 года, являются: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переход на путь инновационного и энергоэффективного развития;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изменение структуры и масштабов производства энергоресурсов;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конкурентной рыночной среды;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интеграция в мировую энергетическую систему.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Одним из главных приоритетов является развитие рыночной инфраструктуры энергетики (рыночные механизмы, институты открытой торговли энергоресурсами, инфраструктура их транспорта). Особое значение придается программе повышения цен на газ и механизмам минимизации негативных социально-экономических последствий общего роста цен на энергоресурсы. Поддержка и стимулирование стратегических инициатив в энергетике являются основой для реализации крупных энергетических проектов в будущем.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Большинство представленных в Энергетической стратегии России на период до 2020 года направлений реализуются на практике, при этом задействованы все предусмотренные ею механизмы государственной энергетической политики. В частности, осуществлена реформа электроэнергетики, происходят либерализация рынка электроэнергии и реформа атомной энергетики, созданы более благоприятные налоговые условия в нефтегазовом комплексе, стимулируется развитие нефтеперерабатывающих и нефтехимических предприятий, развивается биржевая торговля энергоресурсами, устраняются избыточные административные барьеры в деятельности энергетических компаний. Активно реализуются инфраструктурные проекты, являющиеся основой развития отечественной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Вместе с тем пока не в полной мере обеспечивается достижение запланированных Энергетической стратегией России на период до 2020 года итоговых качественных результатов первого этапа ее реализации, а именно - создания базы для устойчивого поступательного развития энергетического сектора, включающей: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формирование целостной и апробированной нормативно-законодательной базы, создание энергетических рынков с высоким уровнем конкуренции и справедливыми принципами организации торговли;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завершение преобразований, выводящих смежные секторы экономики на новый уровень энергоэффективности;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br/>
        <w:t>переход от лидирующей роли топливно-энергетического комплекса в экономике страны к естественной функции эффективного и стабильного поставщика топливно-энергетических ресурсов для нужд экономики и населения.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 учетом принципа преемственности необходимо обеспечить достижение этих качественных ориентиров в рамках настоящей Стратегии.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За время, прошедшее с начала реализации Энергетической стратегии России на период до 2020 года, российский энергетический сектор развивался преимущественно в рамках основных прогнозных тенденций, предусмотренных указанным документом, несмотря на существенные отклонения базовых экономических индикаторов развития страны и внешнеэкономических условий от их значений, прогнозировавшихся в 2003 году.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Так, при росте мировых цен на нефть с 27 долларов США за баррель в 2000 году до 94 долларов США в 2008 году и почти 4-кратном превышении последним показателем прогнозных оценок Энергетической стратегии России на период до 2020 года фактический объем экспорта топливно-энергетических ресурсов за тот же период вырос в 1,6 раза при отклонении от прогнозов экспорта по Энергетической стратегии России на период до 2020 года на 9,6 процента.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При фактическом росте валового внутреннего продукта страны на 65 процентов к уровню 2000 года и отклонении от прогнозов Энергетической стратегии России на период до 2020 года на 11 процентов фактический прирост добычи и производства топливно-энергетических ресурсов составил 26 процентов к уровню 2000 года при отклонении от прогнозов Энергетической стратегии России на период до 2020 года на 2,6 процента.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При этом внутреннее потребление топливно-энергетических ресурсов выросло на 10 процентов к уровню 2000 года при отклонении от прогнозов Энергетической стратегии России на период до 2020 года на 5 процентов главным образом за счет сокращения спроса в 2008 году вследствие глобального экономического кризиса.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Основные показатели развития экономики и топливно-энергетического комплекса России в 2008 году и прогнозные показатели Энергетической стратегии России на период до 2020 года приведены в приложении N 1. В целом приведенное соотношение свидетельствует об устойчивости и высокой инерционности производственных параметров развития топливно-энергетического комплекса по отношению к внешним условиям, а также о достаточной обоснованности прогнозов развития энергетического сектора страны, предусмотренных Энергетической стратегией России на период до 2020 года.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Цели настоящей Стратегии определяются основными внутренними и внешними вызовами предстоящего долгосрочного периода.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Главный внутренний вызов заключается в необходимости выполнения энергетическим сектором страны своей важнейшей роли в рамках предусмотренного Концепцией перехода на инновационный путь развития экономики. Гарантированное удовлетворение внутреннего </w:t>
      </w:r>
      <w:r w:rsidRPr="005E4CD6">
        <w:rPr>
          <w:rFonts w:ascii="Arial" w:eastAsia="Times New Roman" w:hAnsi="Arial" w:cs="Arial"/>
          <w:color w:val="2D2D2D"/>
          <w:spacing w:val="2"/>
          <w:sz w:val="21"/>
          <w:szCs w:val="21"/>
          <w:lang w:eastAsia="ru-RU"/>
        </w:rPr>
        <w:lastRenderedPageBreak/>
        <w:t>спроса на энергоресурсы должно быть обеспечено с учетом следующих требований: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Россией стандартов благосостояния, соответствующих развитым странам мира;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достижение научного и технологического лидерства России по ряду важнейших направлений, обеспечивающих ее конкурентные преимущества и национальную, в том числе энергетическую, безопасность;</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трансформация структуры экономики страны в пользу менее энергоемких отраслей;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переход страны от экспортно-сырьевого к ресурсно-инновационному развитию с качественным обновлением энергетики (как топливной, так и нетопливной) и смежных отраслей;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рациональное снижение доли топливно-энергетического комплекса в общем объеме инвестиций в экономику страны при увеличении абсолютных объемов инвестиций в энергетику, необходимых для развития и ускоренной модернизации этого сектора и роста масштабов его деятельности;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необходимость повышения энергоэффективности и снижения энергоемкости экономики до уровня стран с аналогичными природно-климатическими условиями (Канада, страны Скандинавии);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последовательное ограничение нагрузки топливно-энергетического комплекса на окружающую среду и климат путем снижения выбросов загрязняющих веществ, сброса загрязненных сточных вод, а также эмиссии парниковых газов, сокращения отходов производства и потребления 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Энергетический сектор должен содействовать воспроизводству человеческого капитала (через развитие энергетической инфраструктуры и предоставление энергетических товаров и услуг по социально доступным ценам, обеспечение устойчивого воспроизводства высококвалифицированных кадров и повышение качества жизни граждан страны, в том числе занятых в энергетическом и смежных секторах), а также способствовать переходу к новой модели пространственного развития, опирающейся на сбалансированное развитие энергетической и транспортной инфраструктуры.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Главный внешний вызов заключается в необходимости преодоления угроз, связанных с неустойчивостью мировых энергетических рынков и волатильностью мировых цен на энергоресурсы, а также обеспечения вклада энергетического сектора страны в повышение эффективности ее внешнеэкономической деятельности и усиление позиций России в мировой экономической системе. Это означает, что должны быть обеспечены: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достижение устойчивых результатов внешнеэкономической деятельности в сфере топливно-энергетического комплекса в условиях усиления глобальной конкуренции за ресурсы и рынки сбыта;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br/>
        <w:t>минимизация негативного влияния глобального экономического кризиса и его использование для коренного обновления и диверсификации структуры экономики в пользу менее энергоемких отраслей, стимулирования перехода российского энергетического сектора на ускоренное инновационное развитие и новый технологический уклад;</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увеличение стратегического присутствия России на рынках высокотехнологичной продукции и интеллектуальных услуг в сфере энергетики, в том числе за счет развертывания глобально ориентированных специализированных производств;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географическая и продуктовая диверсификация российского энергетического экспорта в условиях стабильных и расширяющихся поставок энергоресурсов крупнейшим мировым потребителям;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рациональное снижение доли топливно-энергетических ресурсов в структуре российского экспорта, переход от продажи первичных сырьевых и энергетических ресурсов за рубеж к продаже продукции их глубокой переработки, а также развитие продажи нефтепродуктов, выпускаемых на зарубежных нефтеперерабатывающих заводах, принадлежащих российским нефтяным компаниям;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крупных узлов международной энергетической инфраструктуры на территории России, осуществляемое с использованием новых энергетических технологий.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Необходимость адекватного ответа на важнейшие внутренние и внешние вызовы долгосрочного развития в сочетании с имеющимися проблемами в энергетической сфере формирует цели и задачи настоящей Стратегии. Соответствующие риски подлежат учету в системе стратегических приоритетов и ориентиров, а также в рамках процесса поэтапной реализации настоящей Стратегии.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Главной целью настоящей Стратегии является создание инновационного и эффективного энергетического сектора страны, адекватного как потребностям растущей экономики в энергоресурсах, так и внешнеэкономическим интересам России, обеспечивающего необходимый вклад в социально ориентированное инновационное развитие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Достижение указанной цели требует последовательного продвижения в решении следующих основных задач:</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повышение эффективности воспроизводства, добычи и переработки топливно-энергетических ресурсов для удовлетворения внутреннего и внешнего спроса на них;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модернизация и создание новой энергетической инфраструктуры на основе масштабного технологического обновления энергетического сектора экономики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формирование устойчиво благоприятной институциональной среды в энергетической сфере;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повышение энергетической и экологической эффективности российской экономики и энергетики, в том числе за счет структурных изменений и активизации технологического энергосбережения;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дальнейшая интеграция российской энергетики в мировую энергетическую систему.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4CD6">
        <w:rPr>
          <w:rFonts w:ascii="Arial" w:eastAsia="Times New Roman" w:hAnsi="Arial" w:cs="Arial"/>
          <w:color w:val="4C4C4C"/>
          <w:spacing w:val="2"/>
          <w:sz w:val="38"/>
          <w:szCs w:val="38"/>
          <w:lang w:eastAsia="ru-RU"/>
        </w:rPr>
        <w:t>III. Основные тенденции и прогнозные оценки социально-экономического развития России на период до 2030 года</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Несмотря на последствия глобального экономического кризиса, достижение целевых долгосрочных ориентиров социально-экономического развития России и адекватного развития энергетического сектора страны продолжает базироваться на основных положениях содержащегося в Концепции сценария инновационного развития экономики.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Сценарий базового инновационного развития предполагает наряду с использованием конкурентных преимуществ российской экономики как в традиционных секторах, так и в новых наукоемких секторах и "экономике знаний", прорыв в повышении эффективности человеческого капитала, развитии высоко- и среднетехнологичных производств и превращение инновационных факторов в основной источник экономического роста.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Реализация базового инновационного сценария позволит обеспечить уровень социально-экономического развития России и благосостояния ее граждан, характерный для развитых постиндустриальных стран, за счет повышения конкурентоспособности отечественной экономики, структурной диверсификации и роста ее эффективности. При этом существенно сократится разрыв между Россией и ведущими странами мира по уровню благосостояния.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экономики по базовому инновационному сценарию характеризуется полномасштабным обеспечением: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развития и реализации сравнительных преимуществ российской экономики в энергетике, науке и образовании, высоких технологиях и других сферах;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динамики развития институтов, определяющих предпринимательскую и инвестиционную активность, а также конкурентоспособность компаний;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интенсивности инновационного обновления обрабатывающих производств и динамики производительности труда;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динамики развития транспортной и энергетической инфраструктуры;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интенсивности повышения качества человеческого капитала и формирования среднего </w:t>
      </w:r>
      <w:r w:rsidRPr="005E4CD6">
        <w:rPr>
          <w:rFonts w:ascii="Arial" w:eastAsia="Times New Roman" w:hAnsi="Arial" w:cs="Arial"/>
          <w:color w:val="2D2D2D"/>
          <w:spacing w:val="2"/>
          <w:sz w:val="21"/>
          <w:szCs w:val="21"/>
          <w:lang w:eastAsia="ru-RU"/>
        </w:rPr>
        <w:lastRenderedPageBreak/>
        <w:t>класса;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интеграции евро-азиатского экономического пространства.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При этом предусматривается, что конкретная траектория выхода на инновационный путь развития и достижения поставленных долгосрочных целей может измениться, в том числе вследствие начавшегося в 2008 году глобального экономического кризиса и с учетом его возможной длительности.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При формировании базовых прогнозов настоящей Стратегии (далее - базовое прогнозное поле) используется следующий диапазон укрупненных прогнозных гипотез социально-экономического развития.</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Гипотеза I. К концу первого этапа реализации настоящей Стратегии и началу посткризисного периода (ориентировочно 2013-2015 годы) социально-экономическое развитие страны будет осуществляться темпами, предусмотренными Концепцией.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Гипотеза II. К концу второго этапа реализации настоящей Стратегии (ориентировочно 2020-2022 годы) за счет более ускоренного развития в посткризисный период будет обеспечен уровень социально-экономического развития страны, предусмотренный Концепцией.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Система связей и взаимодействия экономики и энергетики характеризуется, во-первых, трансформацией прогнозных гипотез социально-экономического развития в базовое прогнозное поле развития энергетического сектора, во-вторых, формированием гипотез о целевых ориентирах перспективной системы связей и взаимодействия экономики и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Базовое прогнозное поле используется для определения приоритетов и ориентиров перспективного развития энергетического сектора по всем представленным в настоящей Стратегии направлениям. Оценка и уточнение конкретных прогнозных траекторий развития энергетического сектора производятся в рамках системы опережающего мониторинга настоящей Стратегии (в зависимости от хода реализации ее целевых установок и динамики внешних условий). При этом возможность выхода указанных траекторий развития за пределы базового прогнозного поля учитывается в первую очередь через уточнение сроков и параметров отдельных этапов реализации настоящей Стратегии (при сохранении их качественного содержания). Указанный механизм обеспечивает защиту от имеющихся рисков, позволяя уточнять пути и сроки достижения намеченных стратегических ориентиров исходя из неизменности основных стратегических целей.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Таким образом, в рамках настоящей Стратегии определяются не конкретные траектории, а модель поэтапного перспективного развития энергетического сектора, учитывающая объективно существующие риски. Ключевое значение при этом имеет не столько прогнозирование меняющихся рисков, сколько готовность к их преодолению.</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Основные гипотезы о целевых ориентирах системы связей и взаимодействия экономики и </w:t>
      </w:r>
      <w:r w:rsidRPr="005E4CD6">
        <w:rPr>
          <w:rFonts w:ascii="Arial" w:eastAsia="Times New Roman" w:hAnsi="Arial" w:cs="Arial"/>
          <w:color w:val="2D2D2D"/>
          <w:spacing w:val="2"/>
          <w:sz w:val="21"/>
          <w:szCs w:val="21"/>
          <w:lang w:eastAsia="ru-RU"/>
        </w:rPr>
        <w:lastRenderedPageBreak/>
        <w:t>энергетики на период до 2030 года характеризуются следующим образом.</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За период реализации настоящей Стратегии произойдет снижение зависимости российской экономики от энергетического сектора за счет опережающего развития инновационных малоэнергоемких секторов экономики и реализации технологического потенциала энергосбережения. Это выразится в сокращении к 2030 году (по сравнению с уровнем 2005 года):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доли топливно-энергетического комплекса в валовом внутреннем продукте и доли топливно-энергетических ресурсов в экспорте - не менее чем в 1,7 раза;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доли экспорта топливно-энергетических ресурсов в валовом внутреннем продукте - более чем в 3 раза;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доли капиталовложений в топливно-энергетический комплекс в процентах к валовому внутреннему продукту - не менее чем в 1,4 раза, их доли в общем объеме капиталовложений - более чем в 2 раза;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удельной энергоемкости валового внутреннего продукта - более чем в 2 раза;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удельной электроемкости валового внутреннего продукта - не менее чем в 1,6 раза.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Вместе с тем в период действия настоящей Стратегии российский энергетический сектор сохранит свое определяющее значение при решении важных стратегических задач развития страны. В первую очередь это касается строительства новой энергетической инфраструктуры, которая позволит обеспечить ускоренное социально-экономическое развитие Восточной Сибири и Дальнего Востока, а также преодолеть инфраструктурную разобщенность ряда регионов Российской Федерации и сформировать новые территориально-производственные кластеры на базе развития энергообеспечивающего и перерабатывающего производства.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Снижение зависимости экономики от энергетического сектора будет сопровождаться качественным изменением роли топливно-энергетического комплекса в жизни страны. Являясь крупнейшим заказчиком для многих смежных отраслей промышленности (машиностроение, металлургия, химия и др.) и экономики (строительство, транспорт), российский энергетический сектор внесет весомый вклад в инвестиционное обеспечение инновационного развития отечественной экономики.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Российский энергетический сектор также сохранит свое влияние и на социальную обстановку в стране, поскольку уровень энергетического комфорта и степень доступности энергетических ресурсов во многом определяют и будут определять качество жизни российских граждан.</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4CD6">
        <w:rPr>
          <w:rFonts w:ascii="Arial" w:eastAsia="Times New Roman" w:hAnsi="Arial" w:cs="Arial"/>
          <w:color w:val="4C4C4C"/>
          <w:spacing w:val="2"/>
          <w:sz w:val="38"/>
          <w:szCs w:val="38"/>
          <w:lang w:eastAsia="ru-RU"/>
        </w:rPr>
        <w:lastRenderedPageBreak/>
        <w:t>IV. Перспективы спроса на российские энергоресурсы</w:t>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1. Формирование спроса на топливо и энергию на внутреннем рынке</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Внутренний спрос на энергоресурсы определяется ожидаемой динамикой экономического развития, изменениями в структуре экономики и уровне ее удельной энергоемкости.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Решение указанной задачи требует в числе прочего рациональной перестройки структуры российской экономики.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Концепция предусматривает масштабные структурные преобразования в экономике как в части производства валового внутреннего продукта в целом, так и в секторе промышленного производства. Предусматривается, что под влиянием рыночного спроса опережающими темпами будут развиваться малоэнергоемкие отрасли промышленного производства, специализирующиеся на выпуске высокотехнологичной и наукоемкой продукции. При этом энергоемкие материально-сырьевые производства будут развиваться значительно медленнее, что должно привести к структурной трансформации российской экономики в пользу менее энергоемких секторов и отраслей. Таким образом, в стране на базе обрабатывающего производства и сектора высокотехнологичных наукоемких услуг, имеющих существенно меньшую удельную энергоемкость, будет создан новый, более мощный, чем нефтегазовый, комплекс - источник экономического роста.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Ожидается, что к 2030 году доля малоэнергоемких отраслей (машиностроение, легкая, пищевая промышленность и др.) в структуре промышленного производства вырастет в 1,5-1,6 раза и составит более половины общего объема промышленного производства в стране против 33 процентов в настоящее время.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Наряду с ожидаемыми структурными изменениями в экономике также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 Результатом структурных преобразований в экономике и проведения энергосберегающей политики должно стать существенное снижение к 2030 году энергоемкости и электроемкости российской экономики, что адекватным образом отразится на динамике внутреннего спроса на первичные энергоносители и электроэнергию.</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Прогнозные показатели динамики внутреннего спроса на топливно-энергетические ресурсы приведены в приложении N 1 к настоящей Стратегии.</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2. Россия на мировых энергетических рынках</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lastRenderedPageBreak/>
        <w:br/>
        <w:t>Россия занимает одно из ведущих мест в мировой системе оборота энергоресурсов, активно участвует в мировой торговле ими и в международном сотрудничестве в этой сфере.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Особенно значимы позиции страны на мировом рынке углеводородов.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последние годы Россия занимает лидирующие позиции по объему добычи сырой нефти и обеспечивает 12 процентов мировой торговли нефтью. Свыше четырех пятых объема российской нефти экспортируется в страны Европы, доля России на рынках которых составляет около 30 процентов. Основным направлением экспорта российских нефтепродуктов также является европейский рынок.</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Россия занимает первое место в мире по запасам природного газа (23 процента мировых запасов) и по объемам его ежегодной добычи, обеспечивая 25 процентов мировой торговли этим энергоносителем, доминируя как на европейском газовом рынке, так и на рынке стран Содружества Независимых Государств. В общем объеме потребления газа в странах зарубежной Европы (включая Турцию, но не учитывая страны Содружества Независимых Государств) на российский газ приходится около 30 процентов. Обладая уникальной газотранспортной системой, Россия также играет важную роль в обеспечении поставок центральноазиатского газа в Европу и страны Содружества Независимых Государств.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Россия удерживает второе место в мире по запасам угля (19 процентов мировых запасов), пятое место по объемам ежегодной добычи (5 процентов мировой добычи) и обеспечивает около 12 процентов мировой торговли энергетическим углем.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Российская атомная энергетика составляет 5 процентов мирового рынка атомной электрогенерации, 15 процентов мирового рынка реакторостроения, 45 процентов мирового рынка обогащения урана, 15 процентов мирового рынка конверсии отработанного топлива и обеспечивает 8 процентов мировой добычи природного урана.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Особенности предстоящего периода развития мировых энергетических рынков связаны с процессами их реструктуризации, возрастанием удельного веса развивающихся стран, обострением конкуренции. При этом в последнее время существенно увеличилась степень неопределенности и рисков в развитии мировых рынков, в том числе в связи с резкой и непредсказуемой динамикой цен на нефть, негативными последствиями мирового финансового кризиса, угрозами дефицита поставок энергоресурсов в посткризисный период, неоднозначными перспективами заключения международных соглашений по вопросам экологической политики и изменения климата. С другой стороны, все большее понимание и поддержку в мире находят усилия по повышению долгосрочной устойчивости энергетических рынков, глобальной энергетической безопасности, обеспечение которой должно осуществляться без ущерба чьим бы то ни было национальным интересам. Эта тенденция нашла свое отражение, в частности, в решениях и рекомендациях, принятых в 2006 году на Санкт-Петербургском саммите "Группы восьми".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Указанные факторы с учетом проводимой Россией внешней энергетической политики будут </w:t>
      </w:r>
      <w:r w:rsidRPr="005E4CD6">
        <w:rPr>
          <w:rFonts w:ascii="Arial" w:eastAsia="Times New Roman" w:hAnsi="Arial" w:cs="Arial"/>
          <w:color w:val="2D2D2D"/>
          <w:spacing w:val="2"/>
          <w:sz w:val="21"/>
          <w:szCs w:val="21"/>
          <w:lang w:eastAsia="ru-RU"/>
        </w:rPr>
        <w:lastRenderedPageBreak/>
        <w:t>определять ее положение на мировых энергетических рынках в перспективе.</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Несомненно, Россия останется ведущим игроком на мировом рынке углеводородов, будет активно участвовать в развитии рынков электроэнергии и угля, упрочит свои позиции в мировой атомной энергетике.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Одним из главных принципов при этом будет сохранение стабильных отношений с традиционными потребителями российских энергоресурсов и формирование столь же устойчивых отношений на новых энергетических рынках.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Наряду с экспортом первичных энергоносителей особое внимание будет уделяться развитию экспорта продукции глубокой степени переработки, а также развитию ее производства за рубежом российскими топливно-энергетическими компаниями. В частности, для России в будущем значительный интерес представляют высококонкурентные мировые рынки продукции нефте- и газохимии.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Хотя в настоящее время Россия практически не представлена на мировом рынке энергетики, основанной на возобновляемых источниках энергии, она не останется в стороне от развития этого перспективного направления (с учетом структуры и особенностей развития национального энергетического сектора). Имеющийся в стране потенциал возобновляемых источников энергии и научно-технические разработки в этой сфере наряду с развитием международного сотрудничества станут основой поэтапного увеличения вклада России в развитие указанного рынка.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период до 2030 года экспорт энергоносителей будет оставаться важнейшим фактором развития национальной экономики, однако степень его влияния на экономику будет сокращаться. Это отразится на динамике экспорта, который будет постепенно замедлять свой рост и, как ожидается, стабилизируется к концу рассматриваемого периода.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Эта тенденция согласуется с долгосрочной экономической политикой государства, ориентированной на диверсификацию структуры экономики и снижение зависимости страны от экспорта энергоресурсов.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Прогнозные показатели динамики экспорта российских энергоресурсов приведены в приложении N 1 к настоящей Стратегии.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Энергетические рынки Европы и стран Содружества Независимых Государств останутся основными рынками сбыта продукции российского топливно-энергетического комплекса на весь период действия настоящей Стратегии. В связи с этим будут осуществлены меры по снижению транзитных рисков, включая дальнейшее развитие и совершенствование полноценной экспортной инфраструктуры, обеспечивающей надежность поставок российских энергоносителей на указанные рынки.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Вместе с тем доля европейского направления в общем объеме экспорта российских топливно-энергетических ресурсов будет неуклонно сокращаться за счет диверсификации экспортных энергетических рынков в восточном направлении (Китай, Япония, Республика </w:t>
      </w:r>
      <w:r w:rsidRPr="005E4CD6">
        <w:rPr>
          <w:rFonts w:ascii="Arial" w:eastAsia="Times New Roman" w:hAnsi="Arial" w:cs="Arial"/>
          <w:color w:val="2D2D2D"/>
          <w:spacing w:val="2"/>
          <w:sz w:val="21"/>
          <w:szCs w:val="21"/>
          <w:lang w:eastAsia="ru-RU"/>
        </w:rPr>
        <w:lastRenderedPageBreak/>
        <w:t>Корея, страны Азиатско-Тихоокеанского региона). При этом к концу третьего этапа реализации настоящей Стратегии удельный вес восточного направления в экспорте жидких углеводородов (нефть и нефтепродукты) возрастет с 6 процентов в настоящее время до 22-25 процентов, а в экспорте газа - с 0 до 19-20 процентов.</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Настоящая Стратегия предусматривает также диверсификацию товарной структуры экспорта энергоносителей за счет увеличения в экспорте доли энергетических продуктов с высокой добавленной стоимостью (нефтепродукты, сжиженный природный газ, газомоторное топливо, продукция газохимии и нефтехимии, электроэнергия).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Таким образом, Россия не только сохранит свои позиции на мировом энергетическом рынке как крупнейший поставщик энергоносителей, но и качественно изменит характер своего присутствия на нем за счет диверсификации товарной структуры и направлений российского энергетического экспорта, активного развития новых форм международного энергетического бизнеса и расширения присутствия российских компаний за рубежом. Это позволит снизить риск монозависимости российского энергетического сектора от экспорта энергоносителей в Европу, а также увеличить доходность и эффективность международной деятельности российских топливно-энергетических компаний без существенного увеличения объемов экспорта первичных энергоносителей.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4CD6">
        <w:rPr>
          <w:rFonts w:ascii="Arial" w:eastAsia="Times New Roman" w:hAnsi="Arial" w:cs="Arial"/>
          <w:color w:val="4C4C4C"/>
          <w:spacing w:val="2"/>
          <w:sz w:val="38"/>
          <w:szCs w:val="38"/>
          <w:lang w:eastAsia="ru-RU"/>
        </w:rPr>
        <w:t>V. Государственная энергетическая политика</w:t>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1. Основы государственной энергетической политики и этапы ее реализации</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Проведение долгосрочной государственной энергетической политики для защиты прав и законных интересов граждан и хозяйствующих субъектов, обеспечения обороны и безопасности государства, эффективного управления государственной собственностью, достижения качественно нового состояния энергетического сектора осуществляется на следующих неизменных принципах: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последовательность действий государства по реализации важнейших стратегических ориентиров развития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заинтересованность в создании сильных и устойчиво развивающихся энергетических компаний, достойно представляющих Россию на внешних рынках и способствующих успешному функционированию конкурентных внутренних рынков;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обоснованность и предсказуемость государственного регулирования, направленного на стимулирование частной предпринимательской инициативы в области реализации целей государственной политики, в том числе в инвестиционной сфере.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Главными стратегическими ориентирами долгосрочной государственной энергетической политики являются: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энергетическая безопасность;</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энергетическая эффективность экономики;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бюджетная эффективность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экологическая безопасность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 числу основных составляющих государственной энергетической политики относятся: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недропользование и управление государственным фондом недр;</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внутренних энергетических рынков;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формирование рационального топливно-энергетического баланса;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региональная энергетическая политика;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инновационная и научно-техническая политика в энергетике;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социальная политика в энергетике;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внешняя энергетическая политика.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Главными механизмами осуществления государственной энергетической политики служат:</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благоприятной экономической среды для функционирования топливно-энергетического комплекса (включая согласованное тарифное, налоговое, таможенное, антимонопольное регулирование и институциональные преобразования в топливно-энергетическом комплексе);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введение системы перспективных технических регламентов, национальных стандартов и норм, повышающих управляемость и стимулирующих реализацию важнейших приоритетов и ориентиров развития энергетики, включая повышение энергоэффективности экономики;</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стимулирование и поддержка стратегических инициатив хозяйствующих субъектов в инвестиционной, инновационной, энергосберегающей, экологической и других имеющих приоритетное значение сферах;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повышение эффективности управления государственной собственностью в энергетике.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Реализацию государственной энергетической политики предусматривается осуществлять в 3 этапа с целью обеспечения: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br/>
        <w:t>последовательного продвижения по пути достижения целей и решения задач настоящей Стратегии;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координации указанной политики с социально-экономическим развитием страны в целом;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учета качественных различий во внешних и внутренних условиях развития и параметрах состояния энергетического сектора, а также в характере и направленности мероприятий государственной энергетической политики в разные периоды ее осуществления.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Первый этап - это этап выхода из кризиса и формирования основ новой экономики. В соответствии с этим главной задачей является скорейшее преодоление кризисных явлений в экономике и энергетике с целью достижения устойчивых темпов экономического и энергетического развития, предусмотренных Концепцией, а также использования открываемых в период кризиса возможностей для качественного обновления и модернизации российского топливно-энергетического комплекса.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Основные риски первого этапа заключаются в возможности более тяжелых, чем ожидалось, последствий кризиса, а также его большей продолжительности, в недостаточном темпе и эффективности тех преобразований в топливно-энергетическом комплексе, которые должны к концу этапа создать основу для устойчивого посткризисного развития.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этой связи на первом этапе должны быть созданы необходимые условия и сняты основные барьеры (как на внутреннем рынке, так и во взаимодействии с зарубежными партнерами) для обеспечения ускоренного продвижения по всем важнейшим составляющим государственной энергетической политики. Одновременно необходимо скорректировать и синхронизировать планы и программы развития энергетического сектора с мероприятиями, предусмотренными Концепцией (с учетом вероятной корректировки сроков и параметров реализации последних в результате влияния глобального экономического кризиса).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этот период планируется осуществить работы по развитию и обновлению основных производственных фондов и инфраструктуры энергетического сектора (в том числе по завершению наиболее важных из ранее начатых проектов), выделить территории и регионы, в которых необходимо обеспечить опережающее развитие энергетической инфраструктуры и перелом негативных тенденций в развитии сырьевой базы энергетики, завершить формирование базовых рыночных институтов, стабильной и эффективной нормативной правовой базы и системы государственного регулирования в энергетике.</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На этом этапе российский топливно-энергетический комплекс также будет активно способствовать скорейшему выходу из кризиса и последующему активному инновационному развитию смежных отраслей промышленности (машиностроение, трубная промышленность и др.) за счет размещения заказов на необходимые энергетике виды материалов и оборудования.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Внешними условиями для развития российского энергетического сектора в этот период будут сначала последствия глобального экономического кризиса, а затем переход к </w:t>
      </w:r>
      <w:r w:rsidRPr="005E4CD6">
        <w:rPr>
          <w:rFonts w:ascii="Arial" w:eastAsia="Times New Roman" w:hAnsi="Arial" w:cs="Arial"/>
          <w:color w:val="2D2D2D"/>
          <w:spacing w:val="2"/>
          <w:sz w:val="21"/>
          <w:szCs w:val="21"/>
          <w:lang w:eastAsia="ru-RU"/>
        </w:rPr>
        <w:lastRenderedPageBreak/>
        <w:t>вероятному посткризисному росту мировой экономики, что будет характеризоваться нестабильностью и непредсказуемостью динамики мировых финансовых, фондовых и энергетических рынков. В этих условиях возрастет роль государственного участия в развитии российского энергетического сектора, в том числе в обеспечении необходимыми ресурсами для строительства и модернизации энергетической инфраструктуры, предоставлении бизнесу государственных гарантий под реализацию приоритетных долгосрочных инвестиционных проектов, поддержке финансово-экономической устойчивости системообразующих компаний энергетического сектора.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Временные рамки окончания первого этапа (ориентировочно 2013-2015 годы) будут определяться масштабами последствий кризиса и скоростью их преодоления экономикой и энергетическим сектором.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Второй этап - это этап перехода к инновационному развитию и формирования инфраструктуры новой экономики. В соответствии с этим доминантой второго этапа будет общее повышение энергоэффективности в отраслях топливно-энергетического комплекса и экономике в целом как результат проведенных на первом этапе мероприятий по модернизации основных производственных фондов и соответствующих нормативно-правовых и институциональных преобразований, а также реализация инновационных и новых капиталоемких энергетических проектов в Восточной Сибири и на Дальнем Востоке, на континентальном шельфе арктических морей и полуострове Ямал.</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Основные риски второго этапа связаны с возможностью отставания российского энергетического сектора от ускоренного посткризисного развития передовых стран, с отсутствием к концу этапа необходимых условий для последующего перехода к инновационной энергетике будущего.</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этом этапе должно быть развернуто широкое инновационное обновление отраслей топливно-энергетического комплекса за счет отечественных технологий, материалов и оборудования, полученных в результате активного взаимодействия топливно-энергетического комплекса и промышленности на первом этапе, а также международного сотрудничества.</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Внешними условиями развития российского энергетического сектора в этот период будет стабилизация мирового энергетического рынка в преддверии перехода на новую технологическую волну, связанную с расширенным использованием неуглеводородной энергетики в экономике, а также общее уменьшение зависимости российской экономики и бюджета от деятельности топливно-энергетического комплекса страны. Именно в этот период, как ожидается, топливно-энергетический комплекс сможет уступить свое лидирующее положение в российской экономике и формировании бюджетных поступлений в пользу новых инновационных источников роста на базе обрабатывающего производства и сектора высокотехнологичных наукоемких услуг.</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В этих условиях прямое государственное участие в развитии энергетического сектора будет постепенно ослабевать и заменяться на различные формы частно-государственного партнерства, особенно в части строительства и модернизации энергетической </w:t>
      </w:r>
      <w:r w:rsidRPr="005E4CD6">
        <w:rPr>
          <w:rFonts w:ascii="Arial" w:eastAsia="Times New Roman" w:hAnsi="Arial" w:cs="Arial"/>
          <w:color w:val="2D2D2D"/>
          <w:spacing w:val="2"/>
          <w:sz w:val="21"/>
          <w:szCs w:val="21"/>
          <w:lang w:eastAsia="ru-RU"/>
        </w:rPr>
        <w:lastRenderedPageBreak/>
        <w:t>инфраструктуры, развития инноваций. При этом государство усилит свое регулирующее влияние в сфере совершенствования и оптимизации институциональной среды в российском энергетическом секторе.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Третий этап - это этап развития инновационной экономики. В соответствии с этим основным содержанием этого этапа станет постепенный переход к энергетике будущего с принципиально иными технологическими возможностями дальнейшего развития, с опорой на высокоэффективное использование традиционных энергоресурсов и новых неуглеводородных источников энергии и технологий ее получения.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Инновационное развитие российской энергетики будет при этом обеспечено заложенным на предыдущих этапах инвестиционным и инновационным фундаментом в виде новых технологий, оборудования и принципов функционирования топливно-энергетического комплекса России и смежных отраслей.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Основные риски третьего этапа связаны с обеспечением необходимого уровня качества и эффективности инноваций в энергетическом секторе.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Внешними условиями развития энергетического сектора на третьем этапе будут значительное снижение доли энергетического сектора в экономике России за счет его вытеснения неэнергетическими источниками инновационного экономического роста и активное развитие неуглеводородной энергетики в мире.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этих условиях роль государственного участия в развитии энергетического сектора будет заключаться преимущественно в поддержке инновационных направлений развития энергетического сектора (неуглеводородная энергетика и др.), а также в регулировании и обеспечении устойчивой институциональной среды для эффективного функционирования энергетического сектора.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Срок окончания третьего этапа - 2030 год.</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2. Главные стратегические ориентиры</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Энергетическая безопасность является одной из важнейших составляющих национальной безопасности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Энергетическая безопасность - это состояние защищенности страны, ее граждан, общества, государства и экономики от угроз надежному топливо- и энергообеспечению. Эти угрозы определяются внешними (геополитическими, макроэкономическими, конъюнктурными) факторами, а также состоянием и функционированием энергетического сектора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Обеспечение энергетической безопасности определяется ресурсной достаточностью, экономической доступностью, экологической и технологической допустимостью. Ресурсная достаточность определяет физические возможности бездефицитного обеспечения </w:t>
      </w:r>
      <w:r w:rsidRPr="005E4CD6">
        <w:rPr>
          <w:rFonts w:ascii="Arial" w:eastAsia="Times New Roman" w:hAnsi="Arial" w:cs="Arial"/>
          <w:color w:val="2D2D2D"/>
          <w:spacing w:val="2"/>
          <w:sz w:val="21"/>
          <w:szCs w:val="21"/>
          <w:lang w:eastAsia="ru-RU"/>
        </w:rPr>
        <w:lastRenderedPageBreak/>
        <w:t>энергоресурсами национальной экономики и населения, экономическая доступность - рентабельность такого обеспечения при соответствующей конъюнктуре цен, экологическая и технологическая допустимость - возможность добычи, производства и потребления энергоресурсов в рамках существующих на каждом этапе технологий и экологических ограничений, определяющих безопасность функционирования энергетических объектов.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За годы реализации Энергетической стратегии России на период до 2020 года энергетическая безопасность России была обеспечена в полном объеме. Вместе с тем не удалось избежать локальных кратковременных нарушений энергетической безопасности отдельных регионов, которые стали отражением имеющихся системных проблем в российской энергетике.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Основными проблемами в сфере энергетической безопасности являются: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высокая степень износа основных фондов топливно-энергетического комплекса (в электроэнергетике и газовой промышленности - почти 60 процентов, в нефтеперерабатывающей промышленности - 80 процентов);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низкая степень инвестирования в развитие отраслей топливно-энергетического комплекса (за последние 5 лет объем инвестиций в топливно-энергетический комплекс составил около 60 процентов от объема, предусмотренного Энергетической стратегией России на период до 2020 года);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монозависимость российской экономики и энергетики от природного газа, доля которого в структуре внутреннего потребления топливно-энергетических ресурсов составляет около 53 процентов;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несоответствие производственного потенциала топливно-энергетического комплекса мировому научно-техническому уровню, включая экологические стандарты;</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слабое развитие энергетической инфраструктуры в Восточной Сибири и на Дальнем Востоке.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Стратегической целью государственной энергетической политики в сфере обеспечения энергетической безопасности является последовательное улучшение ее следующих главных характеристик:</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способность топливно-энергетического комплекса надежно обеспечивать экономически обоснованный внутренний спрос на энергоносители соответствующего качества и приемлемой стоимости;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способность потребительского сектора экономики эффективно использовать энергоресурсы, предотвращая нерациональные затраты общества на собственное энергообеспечение;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устойчивость энергетического сектора к внешним и внутренним экономическим, техногенным и природным угрозам надежному топливо- и энергообеспечению, а также его </w:t>
      </w:r>
      <w:r w:rsidRPr="005E4CD6">
        <w:rPr>
          <w:rFonts w:ascii="Arial" w:eastAsia="Times New Roman" w:hAnsi="Arial" w:cs="Arial"/>
          <w:color w:val="2D2D2D"/>
          <w:spacing w:val="2"/>
          <w:sz w:val="21"/>
          <w:szCs w:val="21"/>
          <w:lang w:eastAsia="ru-RU"/>
        </w:rPr>
        <w:lastRenderedPageBreak/>
        <w:t>способности минимизировать ущерб, вызванный проявлением различных дестабилизирующих факторов.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Достижение энергетической безопасности осуществляется на базе реализации всех основных составляющих государственной энергетической политики исходя из следующих важнейших принципов: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гарантированности и надежности энергообеспечения экономики и населения страны в полном объеме в обычных условиях и в минимально необходимом объеме при угрозе возникновения чрезвычайных ситуаций различного характера за счет создания системы стратегических резервов топливно-энергетических ресурсов, регламентации минимально допустимых резервов генерирующих и энерготранспортных мощностей, уровней сезонных запасов топлива, резервов оборудования, необходимого для устранения последствий крупных аварий в энергетическом секторе;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разделение полномочий и ответственности государственных органов, органов исполнительной власти федерального и регионального уровней, энергоснабжающих компаний и хозяйствующих субъектов-потребителей в части обеспечения энергетической безопасности всех секторов экономики, населения, социально значимых объектов и предприятий;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надежного функционирования и предсказуемого развития энергетической инфраструктуры, в том числе с использованием механизмов частно-государственного партнерства, последовательное снятие ограничений в транспортировке энергоресурсов между различными регионами страны, а также между отдельными территориально-производственными комплексами (энергоузлами) внутри регионов;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своевременность геологоразведки, подготовки и освоения новых месторождений (залежей, площадей, участков, провинций) традиционных видов топлива, в том числе за счет частно-государственного партнерства и рациональной налоговой политики (имея в виду опережающий добычу прирост разведанных извлекаемых запасов), своевременность подготовки к использованию замещающих инновационных энергоресурсов и источников энергии по мере исчерпания традиционных ископаемых энергоресурсов;</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недопущение угрожающего энергетической безопасности уровня износа основных производственных фондов и стимулирование привлечения инвестиций для их модернизации за счет внедрения механизмов инвестиционного налогового кредита, налоговых каникул на проектный срок окупаемости инвестиций, ускоренной амортизации, страхования инвестиционных рисков;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максимально возможное использование конкурентоспособного отечественного оборудования во всех технологических процессах и проектах, стимулирование развития отечественного производства энергоносителей с высокой добавленной стоимостью и повышения качества нефтепродуктов за счет ужесточения стандартов качества моторного топлива, модернизации нефте- и газоперерабатывающих комплексов на территории России, дифференциации ставок акцизов на моторные топлива различного качества;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br/>
        <w:t>повышение уровня национальной энергетической безопасности в результате международного сотрудничества в сфере энергетики при гарантированном выполнении обязательств по международным экспортным контрактам на поставки энергоресурсов.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Стратегической целью государственной энергетической политики в сфере повышения энергетической эффективности экономики является максимально рациональное использование энергетических ресурсов на основе обеспечения заинтересованности их потребителей в энергосбережении, повышении собственной энергетической эффективности и инвестировании в эту сферу.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За последнее пятилетие снижение энергоемкости экономики осуществлялось быстрее, чем это прогнозировалось Энергетической стратегией России на период до 2020 года, главным образом за счет оптимизации загрузки имеющихся свободных производственных мощностей при существенном росте спроса на энергоносители, а также активного развития малоэнергоемкой сферы услуг.</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Существенное влияние на рост валового внутреннего продукта и соответственно снижение энергоемкости оказал рост мировых цен на экспортируемые топливно-энергетические ресурсы.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Главной проблемой в указанной сфере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жилые здания - 18-19 процентов;</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электроэнергетика, промышленность, транспорт - в каждом случае в диапазоне от 13 до 15 процентов;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теплоснабжение, оказание услуг, строительство - в каждом случае в диапазоне от 9 до 10 процентов;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производство топлива, сжигание попутного газа, энергоснабжение государственных учреждений - в каждом случае в диапазоне от 5 до 6 процентов;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сельское хозяйство - 3-4 процента.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Для достижения энергетической эффективности экономики будут использованы следующие меры государственной энергетической политики, сгруппированные по применяемым механизмам ее реализации.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благоприятной экономической среды, в том числе: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формирование комплексного федерального и регионального законодательства по энергосбережению;</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формирование целостной системы управления процессом повышения энергоэффективности;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формирование рынка энергосервисных услуг;</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формирование рациональной системы внутренних цен на энергоносители за счет их постепенной управляемой либерализации для стимулирования рачительного использования энергоносителей в экономике и населением;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стимулирование предпринимательской деятельности в сфере энергосбережения путем создания условий, предполагающих механизмы возврата частных инвестиций в энергосбережение.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Формирование системы перспективных регламентов, стандартов и норм, предусматривающих: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повышение ответственности за нерациональное и неэффективное расходование энергоресурсов путем включения требований обеспечения энергоэффективности (требования к удельному потреблению энергоресурсов машин и оборудования, потерям тепла в зданиях, расходу воды в установках, реализующих водоемкие технологические процессы в действующую систему технического регулирования);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введение специальных нормативов энергоэффективности и системы штрафов за их нарушение, а также системы налоговых льгот за достижение показателей, превышающих нормативы, для стимулирования замены устаревшего оборудования;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организация государственного статистического наблюдения за энергоэффективностью и энергосбережением, введение маркировки товаров по уровню (классам) энергоэффективности;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организация энергетических обследований, составление по их результатам энергетических паспортов организаций с последующим сбором, анализом и систематическим использованием указанной информации.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Поддержка стратегических инициатив, в том числе: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разработка государственной, региональных и муниципальных программ энергосбережения и организация мониторинга их выполнения;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государственная поддержка создания энергосберегающих технологий нового поколения и реализации пилотных энергосберегающих проектов;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стимулирование развития энергетического аудита путем создания специальных проектов, </w:t>
      </w:r>
      <w:r w:rsidRPr="005E4CD6">
        <w:rPr>
          <w:rFonts w:ascii="Arial" w:eastAsia="Times New Roman" w:hAnsi="Arial" w:cs="Arial"/>
          <w:color w:val="2D2D2D"/>
          <w:spacing w:val="2"/>
          <w:sz w:val="21"/>
          <w:szCs w:val="21"/>
          <w:lang w:eastAsia="ru-RU"/>
        </w:rPr>
        <w:lastRenderedPageBreak/>
        <w:t>реализуемых в рамках программы поддержки развития малого бизнеса (бизнес-инкубаторы, программы обучения и др.), организация обязательного энергетического аудита организаций (предприятий) всех типов и классов с определенной периодичностью;</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ликвидация безучетного пользования энергоресурсами путем полного оснащения приборами учета расхода энергии потребителей розничного рынка, в первую очередь бытовых потребителей, развития автоматизированных систем коммерческого учета электрической и тепловой энергии розничного рынка, создания системы метрологического контроля измерительных приборов учета топливно-энергетических ресурсов в реальных условиях эксплуатации;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повышение энергоэффективности бюджетного сектора, в том числе за счет предоставления бюджетным организациям права на распоряжение средствами, сэкономленными в результате реализации проектов по энергосбережению, в соответствии с бюджетным законодательством Российской Федерации;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реализация специальных мер по повышению энергетической эффективности жилищно-коммунального комплекса, в том числе путем внедрения тарифного метода расчета доходности инвестированного капитала, внедрения новых обязательных строительных норм и правил эффективного использования энергии не только для объектов жилищно-коммунального хозяйства, но и для общественных, коммерческих и производственных зданий;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стимулирование развития и использования новых энергетических технологий, создающих продукцию с качественно новыми потребительскими свойствами;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реализация комплекса информационных и образовательных программ (мероприятий), пропаганда энергосбережения;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и поддержка международного сотрудничества в сфере энергосбережения и энергоэффективности, исследований в поисках новых источников 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Бюджетная эффективность энергетики определяется сбалансированностью, устойчивостью и предсказуемостью, с одной стороны, процессов формирования доходной части бюджета за счет прямых поступлений от хозяйствующих субъектов энергетического сектора, с другой стороны, процессов формирования указанными субъектами инвестиций, необходимых для развития энергетического сектора в целях удовлетворения спроса на энергоресурсы и обеспечения экономически эффективного функционирования.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За годы реализации Энергетической стратегии России на период до 2020 года энергетический сектор показал себя одним из самых устойчиво работающих производственных комплексов российской экономики, обеспечивая основной вклад в формирование российского валового внутреннего продукта, экспортной выручки и доходной части бюджетной системы страны. Благоприятные внешнеэкономические условия также обеспечили рост финансового благосостояния компаний и повысили их инвестиционные возможности.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br/>
        <w:t>Проблемами в указанной сфере являются: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недостаточно масштабное инвестиционное обновление энергетического сектора в условиях действовавшей фискальной политики государства в отношении экспортных доходов энергетических компаний при относительно низкой доходности их деятельности на внутреннем рынке;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несбалансированное соотношение доли топливно-энергетического комплекса в налоговых поступлениях в бюджетную систему страны и его доли в общем объеме инвестиций в основной капитал (в частности, за последнее пятилетие это соотношение менялось от 1,7:1 до 2,6:1).</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Стратегической целью государственной энергетической политики в сфере повышения бюджетной эффективности энергетики является обеспечение эффективности комплексных взаимоотношений государства и энергетического бизнеса в вопросах формирования доходов бюджетной системы Российской Федерации, создания экономически благоприятной среды для частных инвестиций в энергетику, прямой поддержки государством реализации энергетических проектов, имеющих стратегическое значение или высокую социальную значимость.</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Для обеспечения бюджетной эффективности энергетики будут использованы следующие меры государственной энергетической политики.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благоприятной экономической среды, в том числе: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рационализация налоговой нагрузки на предприятия энергетического сектора в рамках формирования нормативной правовой базы, направленной на эффективное экономическое регулирование в энергетическом секторе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улучшение предпринимательского климата путем создания ясных и стабильных правил экономической деятельности компаний, гарантирующих соблюдение прав инвесторов за счет введения предсказуемого и сбалансированного режима налогообложения и нормативной правовой базы, защищающей права инвесторов и развитие конкуренции;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совершенствование амортизационной политики путем предоставления налогового режима ускоренной амортизации основных фондов для стимулирования инвестиций в их замену и обновление;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совершенствование государственного ценового (тарифного) регулирования в сфере естественных монополий, учитывающего объективный рост издержек добычи, производства и транспортировки энергоносителей на внутреннем рынке, потребность в инвестиционных ресурсах для развития инфраструктурных объектов, а также предполагающего усиление контроля за эффективностью расходов в данной сфере (совершенствование системы закупок субъектов естественных монополий, переход к применению долгосрочных тарифов и повышение прозрачности и информационной открытости регулируемых организаций);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br/>
        <w:t>завершение формирования системы рынков в электроэнергетике, обеспечивающей достаточные стимулы для инвестиций в развитие самой отрасли и повышение эффективности использования электроэнергии у потребителей.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Формирование системы перспективных регламентов, стандартов и норм, предусматривающих: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совершенствование лицензионной политики, устранение необоснованных административных барьеров;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внесение изменений в нормативную правовую базу технического регулирования энергетики, в том числе упрощение процедуры согласования проектной документации для типовых проектов энергетических объектов с высокими технологическими и экологическими показателями, упрощение процедуры (схемы) сертификации для генерирующего оборудования, в отношении которого подтверждено соответствие передовым международным стандартам, установление приоритета использования передовых международных стандартов проектирования, изготовления и эксплуатации энергетического оборудования;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совершенствование системы учета и контроля надежности и качества товаров и услуг, предоставляемых компаниями топливно-энергетического комплекса.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Поддержка стратегических инициатив, в том числе: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частно-государственного партнерства при реализации энергетических проектов;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системы страхования рисков долгосрочного инвестирования в энергетический сектор;</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объединенных лизинговых компаний для обеспечения организаций энергетического сектора передовыми технологиями и оборудованием;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стимулирование экономической мотивации деятельности малого и среднего бизнеса в энергетическом секторе с учетом отраслевой специфики и венчурного инновационного производства;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стимулирование технического перевооружения, инновационного развития предприятий и отраслей топливно-энергетического комплекса;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организация и стимулирование повышения квалификации работников топливно-энергетического комплекса всех уровней.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Российский энергетический сектор - один из основных источников загрязнения окружающей среды. На его долю приходится более 50 процентов выбросов загрязняющих веществ в атмосферный воздух и более 20 процентов сброса загрязненных сточных вод в </w:t>
      </w:r>
      <w:r w:rsidRPr="005E4CD6">
        <w:rPr>
          <w:rFonts w:ascii="Arial" w:eastAsia="Times New Roman" w:hAnsi="Arial" w:cs="Arial"/>
          <w:color w:val="2D2D2D"/>
          <w:spacing w:val="2"/>
          <w:sz w:val="21"/>
          <w:szCs w:val="21"/>
          <w:lang w:eastAsia="ru-RU"/>
        </w:rPr>
        <w:lastRenderedPageBreak/>
        <w:t>поверхностные водоемы, а также более 70 процентов суммарной эмиссии парниковых газов в Российской Федерации.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экологической безопасности функционирования энергетического сектора России предусматривает минимизацию негативного влияния добычи, производства, транспортировки и потребления энергоресурсов на окружающую среду и климат.</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За годы реализации Энергетической стратегии России на период до 2020 года был достигнут существенный прогресс в сфере повышения экологической безопасности энергетики. Были ужесточены экологические требования в области недропользования, разработан комплекс мер по эффективному использованию попутного нефтяного газа, разработана система государственной экологической экспертизы инвестиционных проектов в энергетике.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то же время сохраняются препятствия на пути решения проблемы рационального использования попутного нефтяного газа (отсутствует нормативная база доступа к газопроводам для производителей сухого отбензиненного газа), отсутствуют экономические механизмы стимулирования компаний с целью эффективной утилизации отходов от деятельности энергетического сектора и рекультивации нарушенных земель.</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Основной целью государственной энергетической политики в сфере обеспечения экологической безопасности энергетики является последовательное ограничение нагрузки топливно-энергетического комплекса на окружающую среду и климат путем снижения выбросов (сбросов) загрязняющих веществ в окружающую среду, а также эмиссии парниковых газов, сокращения образования отходов производства и потребления.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Для реализации экологической безопасности функционирования энергетического сектора будут применяться следующие основные меры государственной энергетической политики.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благоприятной экономической среды, в том числе: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стимулирование и создание условий для внедрения экологически чистых энергоэффективных и ресурсосберегающих технологий при производстве, транспортировке, хранении и использовании топливно-энергетических 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снятие основных инфраструктурных, технологических и иных барьеров, препятствующих рациональному использованию попутного нефтяного газа и минимизации объемов его сжигания на факелах;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условий для расширения производства электрической и тепловой энергии на основе возобновляемых источников 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Формирование системы перспективных регламентов, стандартов и норм, предусматривающих: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ужесточение контроля за соблюдением экологических требований при реализации </w:t>
      </w:r>
      <w:r w:rsidRPr="005E4CD6">
        <w:rPr>
          <w:rFonts w:ascii="Arial" w:eastAsia="Times New Roman" w:hAnsi="Arial" w:cs="Arial"/>
          <w:color w:val="2D2D2D"/>
          <w:spacing w:val="2"/>
          <w:sz w:val="21"/>
          <w:szCs w:val="21"/>
          <w:lang w:eastAsia="ru-RU"/>
        </w:rPr>
        <w:lastRenderedPageBreak/>
        <w:t>инвестиционных проектов в энергетике и текущей эксплуатации энергетических объектов;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гармонизацию норм российского и международного экологического законодательства.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Поддержка стратегических инициатив, в том числе: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системы экологического аудита применительно к организациям всех форм собственности, осуществляющим хозяйственную деятельность в топливно-энергетическом комплексе;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стимулирование увеличения производства высококачественного моторного топлива с улучшенными экологическими характеристиками, соответствующего международным нормам и стандартам.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Индикаторы энергетической безопасности приведены в приложении N 2.</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3. Недропользование и управление государственным фондом недр</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Стратегической целью государственной энергетической политики в области недропользования и управления государственным фондом недр является обеспечение устойчивого, эффективного и экологически безопасного воспроизводства минерально-сырьевой базы для удовлетворения энергетических потребностей экономики страны и обеспечения экспорта энергоресурсов.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ходе реализации Энергетической стратегии России на период до 2020 года были обеспечены: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разработка и утверждение Министерством природных ресурсов и экологии Российской Федерации Долгосрочной государственной программы изучения недр и воспроизводства минерально-сырьевой базы России на основе баланса потребления и воспроизводства минерального сырья, а также ряда региональных программ освоения и воспроизводства минерально-сырьевой базы углеводородного сырья;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широкое применение практики проведения открытых аукционов на право пользования недрами;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перераспределение основных объемов работ по геологическому изучению, поиску и разведке месторождений углеводородов между государством и недропользователями;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активное использование государством механизмов контроля и санкций в отношении недобросовестных недропользователей.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Главными тенденциями являются: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изменение структуры разведанных запасов топливно-энергетических ресурсов в пользу трудноизвлекаемых и сложнокомпонентных топливно-энергетических ресурсов (увеличение доли трудноизвлекаемой и сверхвязкой нефти, "жирного" и низконапорного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изменение географии добычи углеводородов в России за счет вовлечения в эксплуатацию ресурсов Восточной Сибири и Дальнего Востока, полуострова Ямал, континентального шельфа арктических морей и Каспийского моря.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Основными проблемами в указанной сфере являются: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отставание ежегодных объемов прироста запасов топливно-энергетических ресурсов, осуществляемых за счет геолого-разведочных работ, от объемов добычи топливно-энергетических ресурсов (нефть, газ, отдельные марки угля);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низкие темпы геолого-разведочных работ при освоении месторождений топливно-энергетических ресурсов Восточной Сибири и Дальнего Востока, полуострова Ямал, континентального шельфа арктических морей;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недостаточная эффективность эксплуатации действующих месторождений в части наиболее полного и комплексного извлечения топливно-энергетических 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недостаточная эффективность механизма регулирования недропользования от поисковой стадии до завершения разработки и ликвидации месторождений.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Для достижения стратегической цели недропользования и управления государственным фондом недр необходимо решение следующих задач:</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повышение активности геологического освоения новых территорий и акваторий;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стимулирование привлечения частных инвестиций в геолого-разведочные работы и недропользование;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стимулирование эффективного недропользования на основе полного и комплексного извлечения топливно-энергетических ресурсов из недр, увеличения коэффициента извлечения нефти;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рынка независимых сервисных и инжиниринговых услуг в сфере недропользования.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Поставленные задачи будут решаться с использованием следующих мер и механизмов государственной энергетической политики: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повышение государственного участия в освоении новых территорий и акваторий, включая континентальный шельф арктических морей, увеличение государственного финансирования геолого-разведочных работ;</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совершенствование лицензионной политики, устранение избыточных административных барьеров при проведении геолого-разведочных работ, скорейший переход к стимулирующему налогообложению недропользователей на рентной основе;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разработка специального налогового режима освоения запасов континентального шельфа Российской Федерации;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условий для достижения не менее чем 95-процентного уровня использования попутного нефтяного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повышение достоверности учета запасов топливно-энергетических ресурсов и внедрение принципов сквозного управления месторождениями топливно-энергетических ресурсов на всех стадиях - от поисковых работ до завершения разработки и ликвидации месторождения.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4. Развитие внутренних энергетических рынков</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Стратегической целью политики развития внутренних энергетических рынков является устойчивое удовлетворение внутреннего спроса на энергетические ресурсы высокого качества по стабильным и приемлемым для российских потребителей ценам на основе создания и развития энергетических рынков с высоким уровнем конкуренции и справедливыми принципами организации торговли.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Данная составляющая государственной энергетической политики является ключевой для развития энергетического сектора и экономики страны в целом.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ходе реализации Энергетической стратегии России на период до 2020 года были обеспечены: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базовых институтов внутреннего энергетического рынка (биржа нефти и нефтепродуктов, экспериментальная электронная торговая площадка для торговли природным газом по не регулируемым государством ценам, система торговли электрической энергией на основе конкурентного отбора ценовых заявок участников рынка в режиме на сутки вперед и в режиме реального времени);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осуществление реформирования электроэнергетики, обеспечившего создание условий для перехода к целевой модели рынка электроэнергии;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успешное проведение реструктуризации угольной промышленности и формирование либерализованного внутреннего рынка угля;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введение системы таможенных пошлин, стимулирующей экспорт энергетических товаров высокой степени переработки (нефтепродукты), отмена ввозных таможенных пошлин на технологическое оборудование для нефтеперерабатывающих заводов;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отмена государственного регулирования цен на попутный нефтяной газ.</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Современные тенденции в этой сфере ориентированы на развитие биржевой торговли энергоносителями, а также на усиление государственного участия и контроля в нефтегазовом комплексе.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Основными проблемами в указанной сфере являются: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несовершенство рыночной инфраструктуры (базовых рыночных институтов и механизмов биржевой торговли);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наличие регионального и технологического монополизма, а также недобросовестной конкуренции на внутренних энергетических рынках;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наличие диспропорций между внутренними ценами на основные энергоносители;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нерешенность проблемы реформирования и реструктуризации теплоснабжения и создания локальных рынков тепловой 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недостаточно прозрачная система доступа к энергетической инфраструктуре;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сохранение перекрестного субсидирования в энергетике.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Для достижения стратегической цели развития внутренних энергетических рынков необходимо решение следующих задач:</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совершенствование государственного контроля над уровнем экономической концентрации на энергетических рынках и государственного регулирования естественных монополий в энергетическом секторе;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и развитие отечественных систем биржевой торговли всеми видами топливно-энергетических 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совершенствование системы доступа к энергетической инфраструктуре;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формирование эффективной и стабильной системы тарифо- и ценообразования на энергетических рынках, взаимоувязанной с мерами по развитию конкуренции во всех потенциально конкурентных сегментах энергетических рынков, росту энергоэффективности и энергосбережению.</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Поставленные задачи будут решаться с использованием следующих мер и механизмов государственной энергетической политики: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законодательное обеспечение прозрачного и недискриминационного порядка доступа для всех участников рынка к энергетической инфраструктуре (магистральным трубопроводам, электрическим и тепловым сетям), ужесточение антимонопольного законодательства в </w:t>
      </w:r>
      <w:r w:rsidRPr="005E4CD6">
        <w:rPr>
          <w:rFonts w:ascii="Arial" w:eastAsia="Times New Roman" w:hAnsi="Arial" w:cs="Arial"/>
          <w:color w:val="2D2D2D"/>
          <w:spacing w:val="2"/>
          <w:sz w:val="21"/>
          <w:szCs w:val="21"/>
          <w:lang w:eastAsia="ru-RU"/>
        </w:rPr>
        <w:lastRenderedPageBreak/>
        <w:t>целях пресечения картельных сговоров и технологического монополизма, создание интегрированной системы мониторинга энергетических рынков;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стимулирование участия частных компаний в биржевой торговле энергоносителями, создание нормативных правовых основ для развития торговли энергетическими "деривативами" (фьючерсами, опционами и др.) за рубли и использование результатов биржевых торгов в качестве индикаторов для всей системы ценообразования на российские энергоресурсы;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ликвидация перекрестного субсидирования на всех уровнях с сокращением государственного регулирования цен на продукцию естественных монополий для населения на основе соблюдения принципа ограничения предельно допустимой доли затрат социально значимых категорий граждан на свое энергообеспечение;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постепенная либерализация внутренних рынков основных энергоносителей (газ, электроэнергия, тепло), стимулирование заключения долгосрочных договоров на поставку энергоресурсов.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5. Формирование рационального топливно-энергетического баланса</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Стратегической целью государственной энергетической политики в области формирования рационального топливно-энергетического баланса является оптимизация структуры производства, внутреннего потребления и экспорта топливно-энергетических ресурсов с учетом требований обеспечения энергетической безопасности, экономической и энергетической эффективности, усиления внешнеэкономических позиций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ходе реализации Энергетической стратегии России на период до 2020 года были обеспечены: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изменение соотношения внутренних цен на газ и уголь с 0,6 до 1,1 (которое пока не отразилось на изменении структуры внутреннего потребления топливно-энергетических 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постепенное замещение экспорта сырой нефти экспортом нефтепродуктов и интенсификация развития нефтепереработки внутри страны в результате изменения соотношения вывозных таможенных пошлин на нефть и нефтепродукты.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Существующие тенденции предусматривают:</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рост значения возобновляемых источников энергии в обеспечении энергетических потребностей общества;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угольной энергетики на базе новых экологически чистых технологий использования угля;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br/>
        <w:t>развитие производства энергетических продуктов с высокой добавленной стоимостью.</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 основным проблемам в указанной сфере относятся следующие: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увеличение доли газа в структуре внутреннего потребления топливно-энергетических 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слабое развитие производства энергоносителей с высокой добавленной стоимостью (светлые нефтепродукты, газомоторное топливо, сжиженный природный газ) и расширенный вывоз энергетического сырья нулевой или низкой степени переработки;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низкие темпы развития атомной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недостаточно активное развитие возобновляемой энергетики и использования местных видов топлива в региональных энергетических балансах;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неразработанность механизмов использования энергетических балансов для прогнозирования и управления развитием топливно-энергетического комплекса на федеральном и региональном уровнях.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Для достижения стратегической цели политики формирования рационального топливно-энергетического баланса необходимо решение следующих задач:</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снижение доли газа, сопровождаемое адекватным увеличением доли угля и нетопливной энергетики в структуре внутреннего потребления топливно-энергетических 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рационального соотношения объемов экспорта и внутреннего потребления различных видов топливно-энергетических 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стимулирование производства, экспорта и внутреннего потребления энергоносителей, а также продукции топливно-энергетического комплекса неэнергетического назначения с высокой добавленной стоимостью.</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Поставленные задачи будут решаться с использованием следующих мер и механизмов государственной энергетической политики: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эффективной межтопливной конкуренции взаимозаменяемых энергоносителей (газ, уголь), прямая государственная поддержка развития атомной энергетики и стимулирование развития угольной энергетики (технологий "чистого угля");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формирование долгосрочной политики развития возобновляемых источников энергии, учитывающей структуру и тенденции изменения прогнозного топливно-энергетического баланса;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равнодоходности поставок энергоносителей на внутренний рынок и на экспорт;</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br/>
        <w:t>реализация государственной политики в сфере повышения качества моторного топлива и глубины переработки нефти, рациональной государственной поддержки проектов глубокой переработки и обогащения угля, а также развития производства синтетического жидкого топлива на основе всех видов энергоресурсов (природный газ, уголь, биомасса и др.);</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повышение роли отчетных и прогнозных топливно-энергетических балансов как инструмента анализа и устранения диспропорций, эффективного управления развитием топливно-энергетического комплекса и его отраслей (без придания этим балансам директивного характера), включая переход на формирование отчетных и прогнозных топливно-энергетических балансов в структуре, соответствующей международным стандартам.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6. Региональная энергетическая политика</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Стратегической целью региональной энергетической политики является создание устойчивой и способной к саморегулированию системы обеспечения региональной энергетической безопасности с учетом оптимизации территориальной структуры производства и потребления топливно-энергетических 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Проведение региональной энергетической политики на территории такой страны, как Россия (с различными природно-климатическими и социально-экономическими условиями), должно учитывать специфику регионов страны и осуществляться во взаимоувязке с решением стратегических общегосударственных задач перспективного развития экономики и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ходе реализации Энергетической стратегии России на период до 2020 года были обеспечены: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снижение уровня концентрации добычи углеводородов в Западной Сибири за счет развития их добычи в других регионах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усиление энергетических связей между регионами за счет развития энергетической инфраструктуры (нефте- и газопроводов, линий электропередачи);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уменьшение диспропорций как в структуре потребления топлива, так и в энергообеспеченности различных регионов страны (со снижением среднего разрыва в степени энергообеспеченности регионов с 20 до 15 процентов);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осуществление приоритетного развития энергетики в регионах с высокой стоимостью энергоресурсов в рамках соответствующих федеральных целевых программ (Дальний Восток, Забайкалье, Калининградская область, Северный Кавказ и др.).</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Современные тенденции в этой сфере связаны с формированием новой географии энергодефицитных и энергоизбыточных регионов, а также со смещением центров добычи, </w:t>
      </w:r>
      <w:r w:rsidRPr="005E4CD6">
        <w:rPr>
          <w:rFonts w:ascii="Arial" w:eastAsia="Times New Roman" w:hAnsi="Arial" w:cs="Arial"/>
          <w:color w:val="2D2D2D"/>
          <w:spacing w:val="2"/>
          <w:sz w:val="21"/>
          <w:szCs w:val="21"/>
          <w:lang w:eastAsia="ru-RU"/>
        </w:rPr>
        <w:lastRenderedPageBreak/>
        <w:t>переработки и экспорта топливно-энергетических ресурсов на север и восток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Основными проблемами в указанной сфере являются: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остающийся значительным уровень диспропорций в обеспеченности регионов энергоресурсами и в структуре их потребления, необходимость рационального распределения доходов от добычи и производства топливно-энергетических ресурсов между ресурсодобывающими регионами и федеральным центром;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недостаточная согласованность стратегий, программ и планов социально-экономического развития регионов со стратегическими документами в сфере развития энергетики федерального значения (генеральные схемы, отраслевые стратегии, федеральные целевые программы) и инвестиционными программами топливно-энергетических компаний;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наличие "узких мест" в системах энергоснабжения на меж- и внутрирегиональном уровнях;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недостаточное развитие малой энергетики и низкая вовлеченность в энергобалансы местных источников энергии регионального и локального значения;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отсутствие во многих регионах разработанных региональных энергетических программ и программ энергосбережения, а также программ развития теплоснабжения городов региона.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Для достижения стратегической цели региональной энергетической политики необходимо решение следующих задач:</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совершенствование взаимодействия на основе законодательного разграничения полномочий в сфере реализации энергосберегающей политики, обеспечения надежности и безопасности, регулирования и развития энергетического сектора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государственная поддержка развития меж- и внутрирегиональной энергетической инфраструктуры;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реализация крупных региональных стратегических инициатив государства и бизнеса (энергетическое освоение Восточной Сибири и Дальнего Востока, полуострова Ямал, Арктики);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стимулирование комплексного развития региональной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Поставленные задачи будут решаться с использованием следующих мер и механизмов государственной энергетической политики: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обеспечение согласованности федеральных и региональных стратегических программ развития энергетики и отдельных ее отраслей и секторов, законодательного разграничения полномочий и зон ответственности властей разного уровня, совершенствование и </w:t>
      </w:r>
      <w:r w:rsidRPr="005E4CD6">
        <w:rPr>
          <w:rFonts w:ascii="Arial" w:eastAsia="Times New Roman" w:hAnsi="Arial" w:cs="Arial"/>
          <w:color w:val="2D2D2D"/>
          <w:spacing w:val="2"/>
          <w:sz w:val="21"/>
          <w:szCs w:val="21"/>
          <w:lang w:eastAsia="ru-RU"/>
        </w:rPr>
        <w:lastRenderedPageBreak/>
        <w:t>повышение прозрачности системы распределения доходов от добычи и производства энергоресурсов;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ликвидация перекрестного субсидирования в электроэнергетике;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необходимых меж- и внутрирегиональных энерготранспортных коммуникаций, создание разных видов энергетической инфраструктуры для региональных территориально-производственных кластеров энергоемкого (ресурсного) и энергоэффективного (инновационного) типов развития;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разработка и реализация региональных энергетических программ, региональных программ энергосбережения, максимизация экономически эффективного использования местных источников топливно-энергетических ресурсов, развитие экономически эффективных децентрализованных и индивидуальных систем теплоснабжения.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7. Инновационная и научно-техническая политика в энергетике</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Стратегической целью данной составляющей государственной энергетической политики является создание устойчивой национальной инновационной системы в сфере энергетики для обеспечения российского топливно-энергетического комплекса высокоэффективными отечественными технологиями и оборудованием, научно-техническими и инновационными решениями в объемах, необходимых для поддержания энергетической безопасности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Научно-техническая и инновационная политика в энергетическом секторе должна основываться на современных достижениях и прогнозе приоритетных направлений фундаментальной и прикладной отечественной и мировой науки в указанной сфере, обеспечивая создание и внедрение новых высокоэффективных технологий в энергетическом секторе российской экономики.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ходе реализации Энергетической стратегии России на период до 2020 года было обеспечено проведение большого комплекса работ по приоритетному направлению "Энергетика и энергосбережение" в рамках реализации федеральной целевой научно-технической программы "Исследования и разработки по приоритетным направлениям развития науки и техники" на 2002-2006 годы, федеральных целевых программ "Исследования и разработки по приоритетным направлениям развития научно-технологического комплекса России на 2007-2012 годы" и "Национальная технологическая база" на 2007-2011 годы.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истекший период были созданы научные основы, разработаны технологии и опытно-промышленные образцы оборудования и материалов, включая: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новые эффективные методы разведки полезных ископаемых, включая разведку месторождений на континентальном шельфе;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br/>
        <w:t>научные основы транзита энергоресурсов в сложных климатических и ландшафтно-географических условиях;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технологии и опытно-промышленное производство по переработке углеводородных ресурсов, в том числе попутных нефтяных газов;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технологии производства синтетического жидкого топлива из природного газа, угля и биомассы;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производственные комплексы по разработке нефтяных месторождений с низкопроницаемыми структурами, высоковязкой нефти, нефтяных битумов;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технологии извлечения и промышленного использования метана угольных пластов;</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технологии и комплекс оборудования для производства и использования водоугольного топлива;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перспективные технологии и новые виды электротехнического оборудования для передачи, распределения и потребления электрической 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установки энергетического и транспортного назначения, работающие на альтернативном топливе;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модельный ряд когенерационных установок (мини-теплоэлектроцентрали) модульного типа;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энергосберегающие и экологически безопасные осветительные приборы нового поколения на светодиодах и безртутных газоразрядных лампах;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технологические основы оперативной диагностики электротехнического оборудования;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технологические основы элементов системы теплоснабжения нового поколения, обеспечивающие существенное снижение энергетических потерь;</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технологические решения по улавливанию и захоронению углекислого газа с использованием современных технологий сжигания топлива;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опытно-промышленное производство энергетических установок на топливных элементах (твердополимерных и твердооксидных) для автономной, резервной, аварийной энергетики и транспортных средств;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технологии и оборудование для использования низкопотенциальных геотермальных 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Была обеспечена положительная динамика изменений в сферах научно-технологической кооперации науки и энергетического бизнеса, восстановления центров подготовки кадрового </w:t>
      </w:r>
      <w:r w:rsidRPr="005E4CD6">
        <w:rPr>
          <w:rFonts w:ascii="Arial" w:eastAsia="Times New Roman" w:hAnsi="Arial" w:cs="Arial"/>
          <w:color w:val="2D2D2D"/>
          <w:spacing w:val="2"/>
          <w:sz w:val="21"/>
          <w:szCs w:val="21"/>
          <w:lang w:eastAsia="ru-RU"/>
        </w:rPr>
        <w:lastRenderedPageBreak/>
        <w:t>потенциала для обеспечения научно-технических потребностей энергетического сектора.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Современные тенденции в данной сфере связаны с ростом капиталоемкости научно-технических разработок в топливно-энергетическом комплексе, а также с развитием комплексных научно-производственных систем (технопарков) в сфере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 числу основных проблем в указанной сфере относятся: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высокая зависимость предприятий топливно-энергетического комплекса от импортных энергетических технологий и оборудования;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несоответствие технического уровня предприятий топливно-энергетического комплекса современным требованиям;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отсутствие целостной системы взаимодействия науки и бизнеса, обеспечивающей, с одной стороны, необходимый уровень востребованности энергетикой научно-технических достижений и формирование ясных рыночных сигналов к их разработке и внедрению, с другой стороны, развитие высококонкурентного внутреннего рынка научно-технических услуг;</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отсутствие в топливно-энергетическом комплексе развитой инновационной инфраструктуры (центры трансфера технологий, инновационно-технологические центры, технопарки, бизнес-инкубаторы, центры подготовки кадров для инновационной деятельности, венчурные фонды и др.).</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Для достижения стратегической цели инновационной и научно-технической политики в энергетике необходимо решение следующих задач:</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воссоздание и развитие научно-технического потенциала, включая фундаментальную науку, прикладные исследования и разработки, модернизацию экспериментальной базы и системы научно-технической информации;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благоприятных условий для развития инновационной деятельности, направленной на коренное обновление производственно-технологической базы топливно-энергетического комплекса, ресурсосбережение, повышение экономичности, надежности, безопасности и экологичности энергетических установок и систем, ускоренное развитие использования возобновляемых источников энергии и улучшение потребительских свойств продукции топливно-энергетического комплекса;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системы государственной поддержки и стимулирования деятельности энергетических компаний по разработке и реализации инвестиционных проектов, обеспечивающих инновационное развитие отраслей российского топливно-энергетического комплекса, а также подобных проектов, реализуемых за рубежом;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совершенствование применительно к энергетике всех стадий инновационного процесса, повышение востребованности и эффективности использования результатов научной, </w:t>
      </w:r>
      <w:r w:rsidRPr="005E4CD6">
        <w:rPr>
          <w:rFonts w:ascii="Arial" w:eastAsia="Times New Roman" w:hAnsi="Arial" w:cs="Arial"/>
          <w:color w:val="2D2D2D"/>
          <w:spacing w:val="2"/>
          <w:sz w:val="21"/>
          <w:szCs w:val="21"/>
          <w:lang w:eastAsia="ru-RU"/>
        </w:rPr>
        <w:lastRenderedPageBreak/>
        <w:t>проектно-конструкторской, изобретательско-рационализаторской деятельности;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защита прав на результаты научно-технической деятельности;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использование потенциала международного сотрудничества для применения лучших мировых достижений и вывода отечественных разработок на более высокий уровень;</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сохранение и развитие кадрового потенциала и научной базы, интеграция науки, образования и инновационной деятельности.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Инновационная направленность развития топливно-энергетического комплекса также предполагает формирование условий для развития непрерывного процесса поиска и практической реализации новых научно-технических, технологических и организационно-экономических решений в рамках общегосударственного регулирования и четкой системы взаимодействия всех участников инновационного процесса.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качестве приоритетных направлений научно-технического прогресса в энергетическом секторе могут быть выделены следующие.</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По направлению "Развитие сырьевой базы топливно-энергетического комплекса" - разработка инновационных технологий, обеспечивающих воспроизводство запасов (ресурсов) топливно-энергетических ресурсов, повышение достоверности прогноза перспективных объектов, резкое снижение затрат времени на поиск и разведку месторождений на морских акваториях.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 направлению "Нефтяной комплекс":</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увеличение коэффициента извлечения нефти на разрабатываемых и вводимых в разработку месторождениях, в том числе нетрадиционных видов углеводородного сырья - тяжелой (высоковязкой) нефти и природных битумов;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внедрение современных методов увеличения нефтеотдачи;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и широкое применение отечественных программно-аппаратных комплексов, оборудования и приборов для моделирования и управления геолого-техническими мероприятиями в процессе разработки месторождений;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научно-технологическое обеспечение повышения качества светлых нефтепродуктов (в том числе с учетом требований международных стандартов);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внедрение технологий и оборудования для малотоннажного производства синтетического жидкого топлива в местах добычи попутных нефтяных газов, а также в изолированных месторождениях природного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 направлению "Газовая промышленность":</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разработка и освоение технологических комплексов по бурению и добыче углеводородов на континентальном шельфе арктических морей;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отечественного оборудования, технологий и материалов для повышения надежности скважин, вскрытия пластов, в том числе залежей низконапорного природного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вовлечение в хозяйственный оборот нетрадиционных запасов природного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отечественного оборудования, технологий и материалов для строительства и эксплуатации магистральных трубопроводных систем повышенных параметров и распределительных сетей из полимерных материалов;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разработка и создание оборудования, в том числе для объектов добычи с целью переработки "сырых" продуктов, извлечения высокоэкономичных компонентов (этан, гелий), получение моторного топлива, производство водорода.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 направлению "Угольная промышленность":</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повышение качества геолого-разведочных работ (включая внедрение современных методов трехмерного моделирования);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повышение уровня развития материально-технической и научно-исследовательской базы по охране труда, предупреждению и ликвидации аварий в угольной промышленности (включая автоматизацию производственных процессов по добыче угля, разработку новых технологий и оборудования для эффективной дегазации угольных пластов, разработку оборудования и средств защиты от взрыва метана и угольной пыли);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разработка и внедрение системы мер по повышению качества угольной продукции (включая широкое использование техники и технологий, обеспечивающих повышение качества добываемого угля, разработку и применение эффективных технологий обогащения угля, создание оборудования для производства, транспортировки и хранения стандартизованного угольного топлива);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коренное техническое перевооружение угледобывающего производства (включая оснащение разрезов высокопроизводительной горнотранспортной техникой непрерывного и циклического действия, в том числе для селективной отработки угольных пластов, обеспечение развития технологии подземной угледобычи с преимущественным использованием очистных механизированных комплексов и проходческого оборудования нового технического уровня, а также короткозабойной технологии с применением комбайнов непрерывного действия и самоходных средств транспортировки угля);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производства жидких и газообразных продуктов глубокой переработки угля, комплексного использования сопутствующих ресурсов и отходов переработки угля;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повышение эффективности научных исследований по проблемам безопасности </w:t>
      </w:r>
      <w:r w:rsidRPr="005E4CD6">
        <w:rPr>
          <w:rFonts w:ascii="Arial" w:eastAsia="Times New Roman" w:hAnsi="Arial" w:cs="Arial"/>
          <w:color w:val="2D2D2D"/>
          <w:spacing w:val="2"/>
          <w:sz w:val="21"/>
          <w:szCs w:val="21"/>
          <w:lang w:eastAsia="ru-RU"/>
        </w:rPr>
        <w:lastRenderedPageBreak/>
        <w:t>угледобывающего производства, а также исследований природы геомеханических явлений при разработке пластов, опасных по внезапным выбросам метана и горным ударам, разработка системы мер по их предотвращению.</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 направлению "Электроэнергетика":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газотурбинных установок мощностью 300-350 МВт и на их основе высокоэффективных конденсационных парогазовых установок мощностью 500-1000 МВт, работающих на природном газе, с коэффициентом полезного действия выше 60 процентов;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типовых модульных когенерационных парогазовых установок мощностью 100 и 170 МВт с коэффициентом полезного действия 53-55 процентов на теплоэлектроцентралях;</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создание экологически чистых угольных конденсационных энергоблоков на суперсверхкритические параметры пара с коэффициентом полезного действия 43-46 процентов мощностью 660-800 МВт;</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экологически чистых парогазовых установок мощностью 200-600 МВт с газификацией твердого топлива и с коэффициентом полезного действия 50-52 процента и парогазовой установки на угольном синтез-газе;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разработка, создание головных образцов и освоение энерготехнологических комплексов совместной выработки электроэнергии и синтетического жидкого топлива при работе на газообразном и твердом топливе;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высокоинтегрированных интеллектуальных системообразующих и распределительных электрических сетей нового поколения в Единой энергетической системе России (интеллектуальные сети - Smart Grids);</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электрического транзита ультравысокого напряжения постоянного и переменного тока Сибирь - Урал - Европейская часть России;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проводников с использованием новых композитных материалов, позволяющих увеличить токонесущую способность, уменьшить затраты на сооружение линий электропередачи, уменьшить потери в сетях;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организация производства высокотемпературных сверхпроводниковых материалов и устройств на их основе;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использование низкотемпературных сверхпроводниковых индукционных накопителей электрической энергии для электрических сетей и гарантированного электроснабжения ответственных потребителей;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широкое развитие распределенной генерации;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развитие силовой электроники и устройств на их основе, прежде всего различного рода </w:t>
      </w:r>
      <w:r w:rsidRPr="005E4CD6">
        <w:rPr>
          <w:rFonts w:ascii="Arial" w:eastAsia="Times New Roman" w:hAnsi="Arial" w:cs="Arial"/>
          <w:color w:val="2D2D2D"/>
          <w:spacing w:val="2"/>
          <w:sz w:val="21"/>
          <w:szCs w:val="21"/>
          <w:lang w:eastAsia="ru-RU"/>
        </w:rPr>
        <w:lastRenderedPageBreak/>
        <w:t>сетевых управляемых устройств (гибкие системы передачи переменного тока - FACTS);</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высокоинтегрированного информационно-управляющего комплекса оперативно-диспетчерского управления в режиме реального времени с экспертно-расчетными системами принятия решений;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высоконадежных магистральных каналов связи между различными уровнями диспетчерского управления и дублированных цифровых каналов обмена информацией между объектами и центрами управления;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и широкое внедрение централизованных систем противоаварийного управления, охватывающих все уровни Единой энергетической системы России;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автоматизированных систем управления спросом на электроэнергию;</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комплекса высокоэффективного экологически чистого силового гидроэнергетического оборудования для приливных электростанций и средств их сооружения с помощью наплавных блоков;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централизованной системы контроля безопасности напорных гидротехнических сооружений на гидрогенерирующих электростанциях и каскадов гидрогенерирующих электростанций на основе компьютерных систем диагностики гидротехнических сооружений;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гибридной парогазовой установки;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технологий производства водорода (в том числе жидкого) из воды с использованием электроэнергии от атомных, тепловых электростанций и возобновляемых источников 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водородных систем аккумулирования энергии и покрытия неравномерностей графика нагрузки с коэффициентом рекуперации электроэнергии не менее 50 процентов для атомных электростанций, угольных тепловых электростанций и энергоустановок с использованием возобновляемых источников 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 направлению "Ядерно-топливный цикл и атомная энергетика":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модернизация и обновление мощностей атомных электростанций с реакторами на тепловых нейтронах;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экспериментальных и коммерческих атомных электростанций с реакторами на быстрых нейтронах;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нового поколения водо-водяных энергетических реакторов со сверхкритическими параметрами пара и регулируемым спектром нейтронов;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отработка вопросов эксплуатации и замыкания топливного цикла, разработка технологий и </w:t>
      </w:r>
      <w:r w:rsidRPr="005E4CD6">
        <w:rPr>
          <w:rFonts w:ascii="Arial" w:eastAsia="Times New Roman" w:hAnsi="Arial" w:cs="Arial"/>
          <w:color w:val="2D2D2D"/>
          <w:spacing w:val="2"/>
          <w:sz w:val="21"/>
          <w:szCs w:val="21"/>
          <w:lang w:eastAsia="ru-RU"/>
        </w:rPr>
        <w:lastRenderedPageBreak/>
        <w:t>создание предприятий замыкания топливного цикла, обеспечивающих топливообеспечение атомных электростанций с учетом интегрального и годового потребления природного урана, объема разделительных работ, параметров воспроизводства топлива, удельной напряженности топлива в реакторах на быстрых нейтронах, а также вопросов безопасности;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разработка инновационных технологий переработки отходов и замыкания ядерного цикла с приближением к радиационно-эквивалентному захоронению радиоактивных отходов;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овладение энергией термоядерного синтеза на базе отечественных инновационных технологий и продуктивного международного сотрудничества, включая создание экспериментального термоядерного реактора (ИTEР) и демонстрационной станции мощностью 1 ГВт.</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 направлению "Теплоснабжение":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и широкое внедрение комплекса технологического оборудования на модульной основе для нового строительства и перевода существующих источников теплоснабжения на когенерационную основу;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технологического оборудования и автоматизированных систем контроля и управления теплопотреблением;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разработка и предпочтительное использование для теплоснабжения эффективных парогазовых (газопаровых) технологий с впрыском пара;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и применение технологий утилизации теплоты конденсации водяных паров дымовых газов;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разработка технологий низкотемпературного комбинированного теплоснабжения с количественным и качественно-количественным регулированием тепловой нагрузки с децентрализацией пиковых тепловых мощностей;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комплекса технологического оборудования и разработка типовых технических решений по использованию тепловых насосов в системах теплоснабжения в крупных городах и городских образованиях;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взаимосвязанного комплекса технологических подсистем в объединенной системе централизованного теплоснабжения и централизованного холодоснабжения крупных социальных и промышленных потребителей тепла и холода;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телекоммуникационных систем централизованного технологического управления крупными системами теплоснабжения с использованием высоконадежных исполнительных механизмов и технологий геоинформационных систем;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совершенствование технологий промышленного производства теплопроводов с предварительно нанесенным антикоррозийным покрытием, тепло-, гидроизоляцией и </w:t>
      </w:r>
      <w:r w:rsidRPr="005E4CD6">
        <w:rPr>
          <w:rFonts w:ascii="Arial" w:eastAsia="Times New Roman" w:hAnsi="Arial" w:cs="Arial"/>
          <w:color w:val="2D2D2D"/>
          <w:spacing w:val="2"/>
          <w:sz w:val="21"/>
          <w:szCs w:val="21"/>
          <w:lang w:eastAsia="ru-RU"/>
        </w:rPr>
        <w:lastRenderedPageBreak/>
        <w:t>дистанционной диагностикой состояния, регулирующих и запорных устройств с автоматическим приводом, а также монтажа из них тепловых сетей;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разработка и внедрение адаптивных схем и интеллектуальных систем регулирования, конструкций и оборудования для систем отопления и горячего водоснабжения.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 направлению "Возобновляемые источники энергии и местные виды топлива":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технологий использования возобновляемых источников энергии, а также многофункциональных энергетических комплексов для автономного энергообеспечения потребителей в районах, не подключенных к сетям централизованного энергоснабжения;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освоение эффективных технологий сетевого электро- и теплоснабжения на базе возобновляемых источников 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отработка технологий комбинированного использования возобновляемых источников энергии, а также технологий компенсации неравномерности выдачи мощности генерирующими объектами на основе энергии ветра и приливов;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разработка и освоение технологий применения современных материалов при производстве оборудования и компонентов для генерирующих объектов на базе возобновляемых источников энергии с целью снижения стоимости их строительства и повышения эффективности функционирования;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расширение производства и использования новых видов топлива, получаемых из различных видов биомассы.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Решение поставленных задач и реализация приоритетных направлений научно-технического прогресса в энергетическом секторе будут осуществляться с использованием следующих мер и механизмов государственной энергетической политики: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выявление и экономическая поддержка перспективных направлений научно-технической и инновационной деятельности, а также критических технологий в топливно-энергетическом комплексе с учетом их прогнозируемой эффективности и мировых тенденций, государственная поддержка прикладных исследований и разработок;</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финансирования фундаментальной науки в энергетической сфере, направленной на поиск принципиально новых путей эффективного обеспечения энергетических потребностей, в том числе за счет бюджетных средств, а также путем возврата части прибыли в науку;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восстановление инновационного цикла: фундаментальные исследования - прикладные исследования - опытно-конструкторские разработки - головные образцы - производство путем участия государства в создании головных образцов, освобождения компаний от налогообложения прибыли, направляемой на научно-исследовательские и опытно-конструкторские разработки, предоставления льготных налоговых условий компаниям </w:t>
      </w:r>
      <w:r w:rsidRPr="005E4CD6">
        <w:rPr>
          <w:rFonts w:ascii="Arial" w:eastAsia="Times New Roman" w:hAnsi="Arial" w:cs="Arial"/>
          <w:color w:val="2D2D2D"/>
          <w:spacing w:val="2"/>
          <w:sz w:val="21"/>
          <w:szCs w:val="21"/>
          <w:lang w:eastAsia="ru-RU"/>
        </w:rPr>
        <w:lastRenderedPageBreak/>
        <w:t>энергетического сектора на первоначальный период освоения отечественных образцов новой техники и технологий, а также новых для России зарубежных технологий и техники;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стимулирующего налогообложения для инжиниринговых, проектных фирм, а также любых компаний (в том числе производственных), внедряющих передовые (инновационные) технологии в энергетике;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системы технологического прогнозирования ("Форсайта") в энергетике;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формирование целевых научно-технических и инновационных программ;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укрепление и развитие консолидированных отраслевых источников финансирования научно-исследовательских и опытно-конструкторских работ, концентрация бюджетных и внебюджетных средств в целях реализации крупных инновационных проектов;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содействие развитию венчурного бизнеса в сфере инноваций в энергетике;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организация в системе топливно-энергетического комплекса федеральных и региональных центров науки и высоких технологий;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государственная поддержка импорта ключевых комплексных технологий и покупки зарубежных активов - технологических "доноров" в сфере топливно-энергетического комплекса;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разработка системы вовлечения в хозяйственный оборот объектов интеллектуальной собственности и иных результатов научно-технической деятельности в топливно-энергетическом комплексе;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на базе частно-государственного партнерства полигонов для отработки образцов новой техники и технологий;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регулярно обновляемых банков данных о новейших отечественных и зарубежных разработках в сфере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8. Социальная политика в энергетике</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Стратегической целью государственной политики в этой сфере является развитие социального партнерства энергетического бизнеса и общества, а также воспроизводство человеческого капитала в энергетике.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Эффективное взаимодействие общества и энергетического бизнеса является важнейшим условием успешной реализации целей и задач настоящей Стратегии.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В ходе реализации Энергетической стратегии России на период до 2020 года были </w:t>
      </w:r>
      <w:r w:rsidRPr="005E4CD6">
        <w:rPr>
          <w:rFonts w:ascii="Arial" w:eastAsia="Times New Roman" w:hAnsi="Arial" w:cs="Arial"/>
          <w:color w:val="2D2D2D"/>
          <w:spacing w:val="2"/>
          <w:sz w:val="21"/>
          <w:szCs w:val="21"/>
          <w:lang w:eastAsia="ru-RU"/>
        </w:rPr>
        <w:lastRenderedPageBreak/>
        <w:t>обеспечены: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института гарантирующих поставщиков в электроэнергетике;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осуществление мер социальной поддержки в рамках реструктуризации угольной промышленности (предоставление бесплатного пайкового угля, дополнительное пенсионное обеспечение, содействие в приобретении (строительстве) жилья, создание новых рабочих мест, содействие переселению семей шахтеров из неперспективных шахтерских городов и поселков);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сокращение общего травматизма в добыче угля более чем в 2 раза, количества аварий - на 30 процентов;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начало осуществления проектов по совершенствованию социальной инфраструктуры в районах добычи энергоресурсов, особенно в регионах с экстремальными природно-климатическими условиями;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начало осуществления комплекса мероприятий по профессиональной подготовке и повышению квалификации работников топливно-энергетического комплекса.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Современные тенденции в указанной сфере связаны с усложнением взаимоотношений и взаимозависимости общества и энергетического бизнеса, с ростом расходов населения на энергетические товары и услуги, возрастанием роли человеческого потенциала в развитии топливно-энергетического комплекса.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 числу основных проблем в этой сфере относятся: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недостаточный уровень развития социальной инфраструктуры в основных угольных и нефтегазодобывающих регионах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необходимость усиления государственного контроля за розничными ценами на моторное топливо, газ, тепло и электроэнергию для населения;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возрастание роли человеческого фактора в крупнейших авариях последних лет на шахтах;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слабое участие общества в поддержке и развитии энергетического бизнеса в стране;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общее снижение уровня человеческого потенциала в топливно-энергетическом комплексе;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низкий уровень сервисного энергообслуживания.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Для достижения стратегической цели социальной политики в энергетике необходимо решение следующих задач:</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надежного энергоснабжения населения страны по доступным ценам;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расширение реального взаимодействия энергетического бизнеса и общества при решении проблем функционирования и развития энергетического сектора;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и повышение эффективности использования человеческого потенциала энергетического сектора.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Поставленные задачи будут решаться с использованием следующих мер и механизмов государственной энергетической политики: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совершенствование регулирования, в том числе антимонопольного, розничных цен на энергию (газ, тепло, электричество, нефтепродукты) с целью поддержания приемлемой доли затрат населения на необходимое энергообеспечение;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повышение ответственности энергетиков за энергоснабжение населения;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внедрение обязательных норм обеспечения резервного (автономного) энергоснабжения для социально значимых объектов жилищно-коммунальной и бюджетной сферы;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безопасных условий труда на предприятиях топливно-энергетического комплекса, снижение аварийности и травматизма;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и обеспечение эффективного функционирования комплексной системы профилактики заболеваемости и травматизма на предприятиях топливно-энергетического комплекса и восстановления здоровья работников;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повышение эффективности системы адресной социальной поддержки населения;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повышение публичности энергетических компаний, в том числе за счет информационной открытости их деятельности;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комплексное совершенствование системы образования (включая начальное и среднее профессиональное образование) и повышения квалификации специалистов всех уровней с учетом развития системы специализированных региональных центров, а также системы переквалификации и переподготовки кадров в соответствии с современными требованиями;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совершенствование и реализация принципов проектного управления кадровым потенциалом топливно-энергетического комплекса;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сервисной энергетической службы;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социального партнерства энергетического бизнеса и общества, в том числе за счет более активного участия населения в акционерном капитале энергетических компаний и публичного обсуждения новых энергетических проектов в регионах.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9. Внешняя энергетическая политика</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lastRenderedPageBreak/>
        <w:br/>
        <w:t>Стратегической целью внешней энергетической политики является максимально эффективное использование энергетического потенциала России для полноценной интеграции в мировой энергетический рынок, укрепления позиций на нем и получения наибольшей выгоды для национальной экономики.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Глобальный характер энергетических проблем, их усиливающаяся политизация, а также объективная значимость российского топливно-энергетического комплекса в мировой энергетике предопределяют важную роль внешней энергетической политики страны. Россия уже сегодня занимает одно из ведущих мест в мировой системе оборота энергоресурсов, активно участвует в международном сотрудничестве в области производства и поставок на рынки топливно-энергетических ресурсов. Интересы России состоят в обеспечении дальнейшего повышения эффективности производства и экспорта всех основных видов энергоресурсов и продуктов их переработки, а также технологий, в которых российские энергетические и промышленные компании имеют конкурентные преимущества.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Стабильные отношения с традиционными потребителями российских энергоресурсов и формирование столь же устойчивых отношений на новых энергетических рынках являются важнейшими направлениями энергетической политики страны в сфере обеспечения глобальной энергетической безопасности в соответствии с национальными интересами страны. Политика России в указанной сфере осуществляется в соответствии с принятыми в 2006 году на Санкт-Петербургском саммите "Группы восьми" решениями и рекомендациями и является открытой, построенной на принципах предсказуемости, ответственности, взаимного доверия и учета интересов производителей и потребителей.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Ход реализации Энергетической стратегии России на период до 2020 года в указанной сфере характеризуется следующим.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Растет экспорт всех видов российских топливно-энергетических ресурсов, развивается экспорт нефтепродуктов, замещающий экспорт сырой нефти.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Реализованы такие масштабные проекты по строительству экспортной энергетической инфраструктуры для повышения надежности поставок и транзита российских энергоресурсов в Европу, как:</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газопровод "Голубой поток" (16 млрд.куб.м газа в год, 2005 год);</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первая очередь Балтийской трубопроводной системы (65 млн.тонн нефти в год, 2006 год);</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газопровод Ямал - Европа (33 млрд.куб.м газа в год, 2007 год);</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первая очередь нефтепродуктопровода "Север" (8,4 млн.тонн нефтепродуктов в год, 2008 год).</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 целью диверсификации направлений экспортных поставок российских энергоресурсов начата реализация таких новых инфраструктурных проектов, как:</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br/>
        <w:t>газопровод "Северный поток" (55 млрд.куб. м газа в год);</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нефтепровод Восточная Сибирь - Тихий океан (80 млн.тонн нефти в год).</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Подписаны соглашения о строительстве газопровода "Южный поток" (30 млрд.куб.м газа в год), Прикаспийского газопровода (20 млрд.куб.м газа в год), нефтепровода Бургас - Александруполис (35 млн.тонн нефти в год).</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Приняты решения о строительстве второй очереди Балтийской трубопроводной системы (50 млн.тонн нефти в год), расширении мощностей Каспийского трубопроводного консорциума.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Развивается практика обмена энергетическими активами и взаимного долевого участия российских и зарубежных компаний во всей экономической цепочке - от геологоразведки и добычи до доставки энергоресурсов конечному потребителю. Завершается переход на рыночные отношения в сфере поставок газа в страны ближнего зарубежья.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Ведется активный энергетический диалог с крупнейшими странами - потребителями и производителями энергоресурсов, а также с крупными региональными объединениями стран (Европейский союз, Евразийское экономическое сообщество и др.) и международными организациями (Шанхайская организация сотрудничества, Организация стран - экспортеров нефти, Форум стран - экспортеров газа, Международное энергетическое агентство и др.).</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Современные тенденции в этой сфере связаны с высокой волатильностью мировых цен на основные топливно-энергетические ресурсы и ужесточением конкуренции на традиционных рынках сбыта российских энергоресурсов.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 числу основных проблем в указанной сфере относятся: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сокращение спроса и снижение цен на энергоносители вследствие мирового экономического кризиса;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слабая диверсифицированность рынков сбыта российских энергоресурсов и товарной структуры экспорта;</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сохранение зависимости российского экспорта от стран-транзитеров;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политизация энергетических отношений России с зарубежными странами;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низкий уровень присутствия российских энергетических компаний на зарубежных рынках.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Для достижения стратегической цели внешней энергетической политики необходимо решение следующих задач:</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отражение национальных интересов России в формируемой системе функционирования мировых энергетических рынков, обеспечивающей их предсказуемость и стабильное </w:t>
      </w:r>
      <w:r w:rsidRPr="005E4CD6">
        <w:rPr>
          <w:rFonts w:ascii="Arial" w:eastAsia="Times New Roman" w:hAnsi="Arial" w:cs="Arial"/>
          <w:color w:val="2D2D2D"/>
          <w:spacing w:val="2"/>
          <w:sz w:val="21"/>
          <w:szCs w:val="21"/>
          <w:lang w:eastAsia="ru-RU"/>
        </w:rPr>
        <w:lastRenderedPageBreak/>
        <w:t>развитие;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диверсификация экспортных энергетических рынков и товарной структуры экспорта;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стабильных условий на энергетических рынках, включая гарантированность спроса и обоснованные цены на основные продукты российского экспорта энергоресурсов;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укрепление позиций ведущих российских энергетических компаний за рубежом;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эффективной международной кооперации в отношении рисковых и сложных проектов в России (в том числе шельфовых проектов в арктических условиях).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Разработка и реализация внешней энергетической политики основывается на принципе системности, обеспечивающем согласованность деятельности в региональном разрезе, во взаимоотношениях с международными организациями, скоординированных действиях государства и энергетических компаний, механизмах контроля и мониторинга, нацеленности на единый результат.</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Решение указанных задач осуществляется с использованием дипломатической поддержки интересов российских топливно-энергетических компаний за рубежом, а также следующих мер и механизмов государственной энергетической политики: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активное участие в международном переговорном процессе по энергетическим вопросам, обеспечение баланса интересов импортеров, экспортеров и транзитеров энергоресурсов в международных договорах и деятельности международных организаций;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сотрудничества в области энергетики со странами Содружества Независимых Государств, Евразийского экономического сообщества, Северо-Восточной Азии, Шанхайской организации сотрудничества, Европейского союза, с другими международными организациями и государствами;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координация деятельности на мировых рынках нефти и газа со странами Организации стран - экспортеров нефти и Форума стран - экспортеров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содействие формированию единого европейско-российско-азиатского энергетического пространства;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содействие обеспечению благоприятного и недискриминационного режима деятельности отечественных энергетических и сервисных компаний (а также иностранных компаний с долевым участием российских лиц) на мировых рынках, включая их доступ к зарубежным рынкам энергоресурсов и рынкам конечного энергопотребления;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содействие привлечению на взаимовыгодных условиях зарубежных инвестиций, в первую очередь в технически сложные и рисковые проекты;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обеспечение доступа российских энергетических компаний к использованию ресурсов </w:t>
      </w:r>
      <w:r w:rsidRPr="005E4CD6">
        <w:rPr>
          <w:rFonts w:ascii="Arial" w:eastAsia="Times New Roman" w:hAnsi="Arial" w:cs="Arial"/>
          <w:color w:val="2D2D2D"/>
          <w:spacing w:val="2"/>
          <w:sz w:val="21"/>
          <w:szCs w:val="21"/>
          <w:lang w:eastAsia="ru-RU"/>
        </w:rPr>
        <w:lastRenderedPageBreak/>
        <w:t>мировых финансовых рынков, передовых энергетических технологий;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стимулирование развития и экспорта российских технологий, а также услуг российских компаний в сфере топливно-энергетического комплекса;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стимулирование строительства транспортной инфраструктуры для диверсификации рынков сбыта и направлений экспорта российских энергоресурсов на востоке, юге, северо-западе и севере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стимулирование роста доли энергоресурсов высокой степени переработки в общей структуре экспорта российских топливно-энергетических 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рациональное развитие транзитных потоков энергоресурсов через территорию России;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новых форм международного (в том числе технологического) сотрудничества в энергетике;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транспарентности энергетической политики Российской Федерации и координация ее энергетической стратегии с перспективными планами и энергетическими стратегиями других участников рынка;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активное участие России в международном сотрудничестве по развитию энергетики будущего (водородной энергетики, термоядерной энергетики, использования энергии морских приливов и др.).</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4CD6">
        <w:rPr>
          <w:rFonts w:ascii="Arial" w:eastAsia="Times New Roman" w:hAnsi="Arial" w:cs="Arial"/>
          <w:color w:val="4C4C4C"/>
          <w:spacing w:val="2"/>
          <w:sz w:val="38"/>
          <w:szCs w:val="38"/>
          <w:lang w:eastAsia="ru-RU"/>
        </w:rPr>
        <w:t>VI. Перспективы и стратегические инициативы развития топливно-энергетического комплекса</w:t>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1. Топливно-энергетический баланс России на период до 2030 года</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Прогнозный топливно-энергетический баланс России базируется на представленных прогнозных гипотезах социально-экономического развития страны и основных направлениях энергетической политики, предусматривает сбалансированность внутреннего спроса и экспортных поставок топливно-энергетических ресурсов с объемами их добычи, производства и импорта, а также смягчение сложившихся диспропорций, связанных с доминированием природного газа и малым удельным весом угля и нетопливных энергоресурсов (энергия атомных электростанций, возобновляемых источников энергии) в структуре потребления топливно-энергетических ресурсов в стране.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Прогнозный топливно-энергетический баланс России на период до 2030 года предусматривает:</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снижение доли газа в потреблении первичных топливно-энергетических ресурсов с 52 процентов в 2005 году до 46-47 процентов к 2030 году;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увеличение доли нетопливных источников энергии в потреблении первичных топливно-энергетических ресурсов с 11 процентов до 13-14 процентов к 2030 году;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масштабное снижение удельной энергоемкости экономики и энергетики (в 2,1-2,3 раза) при незначительном росте внутреннего потребления (в 1,4-1,6 раза), экспорта (в 1,1-1,2 раза) и производства энергоресурсов (в 1,3-1,4 раза).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Индикаторы стратегического развития минерально-сырьевой базы топливно-энергетического комплекса на период до 2030 года приведены в приложении N 3.</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Прогнозный топливно-энергетический баланс России на период до 2030 года приведен в приложении N 4.</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2. Стратегические инициативы развития топливно-энергетического комплекса</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Настоящая Стратегия предусматривает реализацию стратегических инициатив в сфере развития топливно-энергетического комплекса, призванных обеспечить возрастающие потребности экономики страны в энергетических ресурсах, оптимизировать структуру производства и потребления топливно-энергетических ресурсов, повысить энергоэффективность экономики и энергетики, содействовать укреплению международной, национальной и региональной энергетической безопасности. К числу важнейших стратегических инициатив относятся: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формирование нефтегазовых комплексов в восточных регионах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освоение углеводородного потенциала континентального шельфа арктических морей и северных территорий России;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и территориальная диверсификация энергетической инфраструктуры;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нетопливной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энергосбережения.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Формирование нефтегазовых комплексов в восточных регионах страны (континентальный шельф острова Сахалин, Республика Саха (Якутия), Магаданская, Иркутская области и Красноярский край) с развитием соответствующей производственной, транспортной и социальной инфраструктуры позволит не только обеспечить собственными энергетическими ресурсами указанные регионы, но и диверсифицировать экспортные поставки российских углеводородов, направив их в страны Азиатско-Тихоокеанского региона. Вовлечение в </w:t>
      </w:r>
      <w:r w:rsidRPr="005E4CD6">
        <w:rPr>
          <w:rFonts w:ascii="Arial" w:eastAsia="Times New Roman" w:hAnsi="Arial" w:cs="Arial"/>
          <w:color w:val="2D2D2D"/>
          <w:spacing w:val="2"/>
          <w:sz w:val="21"/>
          <w:szCs w:val="21"/>
          <w:lang w:eastAsia="ru-RU"/>
        </w:rPr>
        <w:lastRenderedPageBreak/>
        <w:t>промышленное освоение сложнокомпонентных углеводородных ресурсов региона даст импульс развитию нефтехимического и газохимического производства, будет способствовать опережающему социально-экономическому развитию районов Восточной Сибири и Дальнего Востока, обеспечит темпы роста регионального валового внутреннего продукта, превышающие средние по стране не менее чем на 0,5-1,5 процента в год.</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Освоение углеводородного потенциала континентального шельфа арктических морей и северных территорий России призвано сыграть стабилизирующую роль в динамике добычи нефти и газа, компенсируя возможный спад уровня добычи в традиционных нефтегазодобывающих районах Западной Сибири в период 2015-2030 годов.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промышленных центров добычи газа на полуострове Ямал, на морских месторождениях газа континентального шельфа Баренцева, Печорского и Карского морей удовлетворит перспективную потребность экономики в природном газе, обеспечит энергетическую безопасность страны и устойчивое развитие топливно-энергетического комплекса государства в долгосрочной перспективе в условиях возрастающей потребности экономики в энергоресурсах.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Комплексное освоение указанных территорий с созданием соответствующей инфраструктуры морского и трубопроводного транспорта будет способствовать развитию отраслей промышленности, связанных с созданием современных технических средств, технологий поиска, разведки, добычи и транспортировки нефти и газа на континентальном шельфе Российской Федерации, а также развитию Северного морского пути.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и территориальная диверсификация энергетической инфраструктуры являются необходимыми условиями устойчивого социально-экономического развития страны на долгосрочную перспективу с учетом системообразующей роли в российской экономике ее энергетического сектора.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Важнейшими стратегическими инфраструктурными проектами в сфере энергетики, реализация которых уже началась или предусматривается в ближайшем будущем, являются: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строительство нефтепровода Восточная Сибирь - Тихий океан;</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строительство нефтепродуктопроводных систем "Север" и "Юг";</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строительство газопроводов "Северный поток" и "Южный поток";</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строительство многониточной газотранспортной системы с полуострова Ямал;</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портовой и транспортной инфраструктуры для перевозки жидких углеводородов (нефти, конденсата, сжиженного природного газа, широкой фракции легких углеводородов).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Развитие нетопливной энергетики обусловлено необходимостью ограничения экологической нагрузки на окружающую среду со стороны предприятий топливно-энергетического </w:t>
      </w:r>
      <w:r w:rsidRPr="005E4CD6">
        <w:rPr>
          <w:rFonts w:ascii="Arial" w:eastAsia="Times New Roman" w:hAnsi="Arial" w:cs="Arial"/>
          <w:color w:val="2D2D2D"/>
          <w:spacing w:val="2"/>
          <w:sz w:val="21"/>
          <w:szCs w:val="21"/>
          <w:lang w:eastAsia="ru-RU"/>
        </w:rPr>
        <w:lastRenderedPageBreak/>
        <w:t>комплекса, а также перспективной стабилизацией уровней добычи углеводородов в условиях продолжающегося роста спроса на топливно-энергетические ресурсы. Настоящая Стратегия предусматривает развитие атомной энергетики и гидроэнергетики сообразно с региональными особенностями спроса на электроэнергию, а также особенностями регулирования графика нагрузок и размещения разных видов генерирующих мощностей. В соответствии с этим развитие атомных электростанций предусмотрено преимущественно в европейской части России, а гидрогенерирующих электростанций - в Восточной Сибири и на Дальнем Востоке.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Существенная роль в настоящей Стратегии также отводится развитию использования новых возобновляемых источников энергии и энергоносителей. Вовлечение в топливно-энергетический баланс таких новых возобновляемых источников энергии, как геотермальная, солнечная, ветровая энергия, биоэнергия и др., позволит сбалансировать энергетический спрос и снизить экологическую нагрузку со стороны предприятий энергетики на окружающую среду.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Энергосбережение также является одной из важнейших стратегических инициатив настоящей Стратегии, поскольку без его масштабной реализации развитие экономики России будет ограничено энергетическими и экологическими факторами. Реализация имеющегося технологического и структурного потенциала энергосбережения позволит обеспечить сбалансированность производства и спроса на энергоресурсы, а также существенно ограничить выбросы парниковых газов при поддержании высоких темпов экономического роста. Достижение этих целей потребует формирования адекватных механизмов заинтересованности потребителей и производителей топливно-энергетических ресурсов в энергосбережении.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3. Развитие сырьевой базы топливно-энергетического комплекса</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Россия обладает одним из крупнейших в мире минерально-сырьевым потенциалом, являющимся основой гарантированного обеспечения экономической и энергетической безопасности страны, удовлетворения текущих и перспективных потребностей экономики России в углеводородном сырье, угле и уране. Структура и величина запасов ископаемых энергоносителей, их качество, степень изученности и направления хозяйственного освоения оказывают непосредственное влияние на экономический потенциал страны и социальное развитие регионов. Основой для определения стратегических ориентиров развития сырьевой базы топливно-энергетического комплекса является Долгосрочная государственная программа изучения недр и воспроизводства минерально-сырьевой базы России на основе баланса потребления и воспроизводства минерального сырья.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Россия обладает значительными ресурсами нефти. Вместе с тем начальные запасы нефти уже выработаны более чем на 50 процентов, в европейской части - на 65 процентов, в том числе в Урало-Поволжье - более чем на 70 процентов. Степень выработанности запасов крупных активно осваиваемых месторождений приближается к 60 процентам.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Структура остаточных запасов нефти как в целом по стране, так и по основным нефтедобывающим компаниям, характеризуется тем, что текущая добыча нефти на 77 процентов обеспечивается отбором из крупных месторождений, обеспеченность которыми составляет 8-10 лет. Постоянно увеличивается доля трудноизвлекаемых запасов, составляющая для основных нефтедобывающих компаний от 30 до 65 процентов. При этом вновь подготавливаемые запасы часто сосредоточены в средних и мелких месторождениях и являются в значительной части трудно извлекаемыми.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Прогнозные ресурсы газа оцениваются в 164,2 трлн.куб.м, в том числе на континентальном шельфе Российской Федерации - 63,8 трлн.куб.м. Разведанные балансовые запасы газа промышленных категорий А+В+С1 на 1 января 2008 года составляют 48 трлн.куб.м, в том числе на континентальном шельфе Российской Федерации - 6,9 трлн.куб.м.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Структура запасов газа в России более благоприятная, чем структура запасов нефти, однако также имеется тенденция к увеличению доли сложных и трудноизвлекаемых запасов. Проблемы их освоения связаны с сокращением находящихся в промышленной разработке высокопродуктивных, залегающих на небольших глубинах запасов, сложными природно-климатическими условиями и удаленностью будущих крупных центров добычи газа от сложившихся центров развития газовой промышленности (Восточная Сибирь, Дальний Восток, полуостров Ямал, континентальный шельф арктических морей), необходимостью освоения значительных запасов низконапорного газа, увеличением в составе разведанных запасов доли жирных, конденсатных и гелийсодержащих газов, требующих для эффективной разработки создания соответствующей газоперерабатывающей инфраструктуры.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Запасы газа базовых разрабатываемых месторождений Западной Сибири - основного газодобывающего региона страны (Медвежье, Уренгойское, Ямбургское) выработаны на 65-75 процентов и перешли в стадию активно падающей добычи.</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Таким образом, учитывая текущую ситуацию в сфере запасов нефти и газа, существующие программы на период до 2030 года и условия лицензирования пользования участками недр в Российской Федерации, а также исходя из намечаемых уровней добычи топлива, настоящая Стратегия предусматривает расширенное воспроизводство минерально-сырьевой базы углеводородов за счет проведения геолого-разведочных работ. По оценке, к 2030 году за счет геолого-разведочных работ может быть обеспечен совокупный прирост запасов нефти в объеме около 12 млрд.тонн (при успешной реализации мероприятий по повышению коэффициента извлечения нефти прирост запасов может составить 14 млрд.тонн) и газа в объеме не менее 16 трлн.куб.м.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При этом текущие предварительно оцененные запасы и ресурсы распределенного фонда недр в основных районах добычи нефти и газа могут обеспечить воспроизводство минерально-сырьевой базы в ближайшие 10-15 лет не более чем на 50 процентов, а остальные запасы будут приращены на новых объектах, в том числе на новых территориях и акваториях России. В частности, необходимый прирост запасов нефти для достижения оптимальных уровней добычи в Восточной Сибири и на Дальнем Востоке оценивается в 1,8 млрд.тонн к 2020 году и свыше 3 млрд.тонн - к 2030 году, что потребует существенного </w:t>
      </w:r>
      <w:r w:rsidRPr="005E4CD6">
        <w:rPr>
          <w:rFonts w:ascii="Arial" w:eastAsia="Times New Roman" w:hAnsi="Arial" w:cs="Arial"/>
          <w:color w:val="2D2D2D"/>
          <w:spacing w:val="2"/>
          <w:sz w:val="21"/>
          <w:szCs w:val="21"/>
          <w:lang w:eastAsia="ru-RU"/>
        </w:rPr>
        <w:lastRenderedPageBreak/>
        <w:t>прироста запасов за пределами зоны нефтепровода Восточная Сибирь - Тихий океан.</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весь период до 2030 года главными районами прироста запасов нефти и газа будут Западно-Сибирская, Лено-Тунгусская и Тимано-Печорская нефтегазоносные провинции. Перспективными направлениями развития сырьевой базы нефтяной и газовой промышленности России станут поиск, разведка и освоение нефтяных и газовых месторождений на континентальном шельфе арктических, дальневосточных и южных морей.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Начальные суммарные извлекаемые ресурсы углеводородов континентального шельфа России составляют 90,3 млрд.тонн условного топлива (из которых свыше 16,5 млрд.тонн нефти с конденсатом и 73,8 трлн.куб.м газа). Они распределены по 16 крупным морским нефтегазоносным провинциям и бассейнам. Основная часть этих ресурсов (около 70 процентов) приходится на континентальный шельф Баренцева, Печорского и Карского морей.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Разведанность начальных суммарных ресурсов углеводородов континентального шельфа России незначительна и в большинстве районов не превышает 10 процентов. При этом разведанность ресурсов газа континентального шельфа Каспийского моря составляет 15,7 процента, нефти - 15,9 процента, ресурсов газа континентального шельфа Охотского моря - 14,4 процента, нефти - 17,9 процента, ресурсов газа континентального шельфа Баренцева моря - 15,5 процента.</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Учитывая географическое распределение прогнозных ресурсов нефти и газа, а также достигнутый уровень геолого-геофизической изученности, предполагается ускоренный рост подготовки запасов углеводородов в российском секторе Каспийского моря, на континентальном шельфе Баренцева, Карского и Охотского морей.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Поиски новых месторождений нефти и газа будут продолжаться и в нефтегазоносных провинциях с падающей добычей нефти - Волго-Уральской и Северо-Кавказской, а также в пределах российской части Прикаспийской нефтегазоносной провинции. При этом объемы глубокого бурения на нефть и газ в период до 2030 года составят более 70 млн.м.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Россия располагает значительными ресурсами угля - более 4000 млрд.тонн, в том числе балансовые запасы по состоянию на 1 января 2008 года составляют 272,6 млрд. тонн (категории А+В+С1 - 193,3 млрд.тонн и категории С2 - 79,3 млрд.тонн), забалансовые запасы - 50,2 млрд.тонн.</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Преобладающую долю ресурсов составляет энергетический уголь - 3641,9 млрд.тонн (89 процентов) и только 445,6 млрд.тонн (11 процентов) - коксующийся уголь.</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Основная доля угольных ресурсов сосредоточена в Сибири (64 процента) и на Дальнем Востоке (30 процентов), в европейской части России и на Урале (6 процентов). Количество разведанных запасов угля, пригодного для открытой отработки, по состоянию на 1 января 2008 года составляет 117,6 млрд.тонн (61 процент), из них преобладает бурый уголь - 93,4 млрд.тонн (79,4 процента). В Сибири и на Дальнем Востоке сконцентрированы 99 процентов </w:t>
      </w:r>
      <w:r w:rsidRPr="005E4CD6">
        <w:rPr>
          <w:rFonts w:ascii="Arial" w:eastAsia="Times New Roman" w:hAnsi="Arial" w:cs="Arial"/>
          <w:color w:val="2D2D2D"/>
          <w:spacing w:val="2"/>
          <w:sz w:val="21"/>
          <w:szCs w:val="21"/>
          <w:lang w:eastAsia="ru-RU"/>
        </w:rPr>
        <w:lastRenderedPageBreak/>
        <w:t>этих запасов. Запасы коксующегося угля, пригодного для отработки открытым способом, подсчитаны в количестве 3,2 млрд.тонн, или 2,7 процента (главным образом Кузнецкий и Южно-Якутский бассейны).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Учитывая повышение роли угля в топливно-энергетическом балансе, решение проблемы энергодефицитных районов, а также обеспечение коксохимической промышленности углем ценных марок, потребуется увеличение объемов финансирования по геологическому изучению недр и воспроизводству сырьевой базы твердого топлива.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Прогнозные ресурсы урана наиболее достоверных категорий Р1 и Р2 составляют 830 тыс.тонн, из которых 60 процентов сосредоточены в Сибирском федеральном округе.</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Балансовые запасы урана России, пригодные для освоения в условиях текущей экономической обстановки, по состоянию на 1 января 2008 года составляют 547,8 тыс.тонн, в том числе категории А+В+С1 - 216,2 тыс.тонн, категории С2 - 331,6 тыс.тонн. Основная их часть (95 процентов) сконцентрирована в Сибирском и Дальневосточном федеральных округах. Вместе с тем имеющиеся в России возможности по добыче и производству природного урана не покрывают совокупных потребностей в нем со стороны предприятий атомной энергетики. Планируется, что разница между годовой добычей природного урана и его общим прогнозируемым расходом будет покрываться за счет складских запасов урана и повторного использования топлива с одновременным постепенным переходом на воспроизводство ядерного топлива в быстрых реакторах, а также за счет закупок и производства урана в странах Содружества Независимых Государств.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Основными направлениями увеличения производства природного урана на период до 2030 года являются: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действующих и строящихся предприятий - "Приаргунское производственное горно-химическое объединение" (Забайкальский край), "Далур" (Курганская область), "Хиагда" (Республика Бурятия);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строительство новых уранодобывающих предприятий - Эльконского горно-металлургического комбината (Республика Саха (Якутия)), уранодобывающей компании "Горное" и Оловского горно-химического комбината (Забайкальский край);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проведение значительного объема геолого-разведочных работ, оценка резервных и вновь выявляемых урановых месторождений для ввода их в эксплуатацию на втором и третьем этапах реализации настоящей Стратегии.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На первом этапе реализации настоящей Стратегии будут активизированы геолого-разведочные работы в традиционных местах добычи топливно-энергетических ресурсов, а также созданы все необходимые условия (нормативно-правовые, налоговые, институциональные и др.) для освоения сырьевой базы топливно-энергетического комплекса в удаленных и труднодоступных районах страны, в том числе в Восточной Сибири и на Дальнем Востоке, континентальном шельфе арктических морей и полуострове Ямал. Предусматривается создание централизованной вертикально интегрированной </w:t>
      </w:r>
      <w:r w:rsidRPr="005E4CD6">
        <w:rPr>
          <w:rFonts w:ascii="Arial" w:eastAsia="Times New Roman" w:hAnsi="Arial" w:cs="Arial"/>
          <w:color w:val="2D2D2D"/>
          <w:spacing w:val="2"/>
          <w:sz w:val="21"/>
          <w:szCs w:val="21"/>
          <w:lang w:eastAsia="ru-RU"/>
        </w:rPr>
        <w:lastRenderedPageBreak/>
        <w:t>системы управления запасами полезных ископаемых с целью достижения максимально эффективного комплексного освоения недр. К окончанию первого этапа соотношение ежегодного прироста запасов топливно-энергетических ресурсов и объема их добычи приблизится к 1.</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втором этапе начнется активное освоение минерально-сырьевой базы нефтегазового комплекса в Восточной Сибири и на Дальнем Востоке, в шельфовых районах, в том числе в российском секторе Арктики, а также на полуострове Ямал, в Обской и Тазовской губах, на европейском севере и в Прикаспийском регионе. При проведении геолого-разведочных работ будут широко использоваться методы трехмерной сейсмики, созданы технологии и аппаратура для радиогеопросвечивания. Значительно возрастут объемы геолого-разведочных работ, повысится их эффективность, что позволит обеспечить устойчивое воспроизводство минерально-сырьевой базы основных отраслей топливно-энергетического комплекса.</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На третьем этапе продолжится освоение новых районов на основе современных методов и технологий геолого-разведочных работ, частно-государственного партнерства и привлечения инвестиций, в том числе иностранных. Поддержание объемов добычи топливно-энергетических ресурсов потребует значительных капиталовложений в новейшие технологии в сфере геолого-разведочных работ и добычи топливно-энергетических ресурсов. Произойдет снижение запасов топливно-энергетических ресурсов в основных районах их текущей добычи.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4. Нефтяной комплекс</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Стратегическими целями развития нефтяного комплекса являются: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стабильное, бесперебойное и экономически эффективное удовлетворение внутреннего спроса на нефть и продукты ее переработки;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активное, без ущерба для внутренних потребностей и будущих поколений граждан, участие в обеспечении мирового спроса на нефть и нефтепродукты;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стабильных поступлений в доходную часть консолидированного бюджета страны в соответствии со значением энергетического сектора в формировании валового внутреннего продукта и экспорта на заданном временном этапе государственной энергетической политики;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инвестиционно-инновационное обновление комплекса, направленное на повышение энергетической, экономической и экологической эффективности его функционирования.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Ход реализации Энергетической стратегии России на период до 2020 года в указанной сфере характеризуется следующим.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Начата добыча нефти на ряде новых крупных месторождений, в том числе на Верхнечонском и Талаканском. Началось активное освоение Тимано-Печорской нефтегазовой провинции, где годовая добыча нефти превысила 25 млн.тонн. Развернута добыча нефти на шельфовых месторождениях (проекты "Сахалин-1" и "Сахалин-2").</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Построены новые магистральные нефтепроводные системы, в том числе Балтийская трубопроводная система мощностью 65 млн.тонн в год, созданы портовые мощности по перевалке и морскому транспорту жидких углеводородов в г.Приморске и пос.Варандей. Развернуто строительство нефтепровода Восточная Сибирь - Тихий океан мощностью 80 млн.тонн в год, который призван обеспечить развитие нефтяного комплекса на востоке страны и диверсификацию направлений экспорта нефти.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Объем переработки нефти увеличился с 173 млн.тонн в 2000 году до 237 млн.тонн в 2008 году, а глубина переработки нефти возросла с 70,8 до 72,6 процента.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сфере государственного регулирования нефтяного комплекса усовершенствована система расчета таможенных пошлин на нефть и нефтепродукты, стимулирующая экспорт нефтепродуктов, а также оперативно реагирующая на изменения конъюнктуры мировых цен. В результате экспорт нефтепродуктов возрос с 57 млн.тонн в 2000 году до 112 млн.тонн в 2008 году.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Активно применяются меры антимонопольного регулирования, направленные на пресечение и предупреждение злоупотреблений доминирующим положением со стороны вертикально интегрированных компаний и антиконкурентных сговоров на внутрироссийских рынках нефтепродуктов.</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Снижена налоговая нагрузка на предприятия нефтяного комплекса, дифференцирована ставка налога на добычу полезных ископаемых на разработку месторождений в зависимости от природно-климатических условий и стадии освоения, усовершенствована система взимания акцизов.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При рассмотрении перспектив развития нефтяного комплекса необходимо учитывать следующие тенденции: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истощение основных нефтяных месторождений Западной Сибири и, следовательно, необходимость освоения нефтяных ресурсов континентального шельфа арктических и дальневосточных морей, Восточной Сибири и Дальнего Востока;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увеличение доли трудноизвлекаемых запасов (сверхвязкая нефть, природный битум и другие) в структуре минерально-сырьевой базы нефтяного комплекса;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расширенное вовлечение в эксплуатацию комплексных нефтегазовых месторождений сложнокомпонентного состава и связанная с этим необходимость утилизации попутного нефтяного газа, метана, гелия и газового конденсата;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удорожание добычи и транспортировки углеводородов.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br/>
        <w:t>К числу основных проблем развития нефтяного комплекса относятся: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нерациональное недропользование (низкий коэффициент извлечения нефти) и отсутствие комплексных технологий добычи и экономически эффективной утилизации углеводородов (сжигание попутного нефтяного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низкие инвестиционные возможности нефтяных компаний, обусловленные высокой налоговой нагрузкой на отрасль;</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наличие инфраструктурных ограничений для диверсификации экспортных поставок нефти;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высокая степень монополизации рынков нефтепродуктов всероссийского, регионального и местного масштаба;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высокий износ основных фондов нефтеперерабатывающей промышленности;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низкое качество нефтепродуктов.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Для достижения стратегических целей развития нефтяного комплекса необходимо решить следующие основные задачи: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расширенного воспроизводства запасов нефти за счет геолого-разведочных работ и своевременной подготовки месторождений к эксплуатации как в традиционных, так и в новых районах нефтедобычи;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формирование новых крупных нефтяных комплексов, предусматривающих добычу нефти, утилизацию попутного нефтяного газа и развитие нефте- и газохимии на базе комплексных нефтегазовых месторождений сложнокомпонентного состава главным образом в восточных районах России и на континентальном шельфе арктических и дальневосточных морей;</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совершенствование технологий добычи нефти, включая внедрение современных методов увеличения нефтеотдачи, для увеличения коэффициента извлечения нефти;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транспортной инфраструктуры, в том числе трубопроводной, для повышения эффективности, диверсификации структуры и направлений транспортировки нефти и нефтепродуктов;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нефтепереработки, направленное на увеличение глубины переработки нефти и повышение качества выпускаемых нефтепродуктов;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стимулирование развития независимых структур в сфере производства, хранения, оптовой и розничной реализации нефтепродуктов;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ресурсо- и энергосбережение, сокращение потерь на всех стадиях технологического процесса при подготовке запасов, добыче, транспортировке и переработке нефти.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br/>
        <w:t>При условии реализации указанных задач нефтяной комплекс сможет полностью удовлетворить внешние и внутренние потребности России в нефти и нефтепродуктах высокого качества на протяжении всего периода действия настоящей Стратегии.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Добыча нефти в европейской части страны будет увеличиваться главным образом за счет освоения ее запасов в Тимано-Печорской провинции, на континентальном шельфе арктических морей и в российском секторе Каспийского моря при снижении добычи в Поволжье и на Урале.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Западной Сибири при стабилизации и постепенном снижении добычи нефти в Ханты-Мансийском автономном округе - Югре будет происходить ее рост в Ямало-Ненецком автономном округе.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Восточной Сибири предусматривается освоение и промышленная разработка месторождений нефти в Ванкорско-Сузунском районе на северо-западе Красноярского края, вдоль трассы нефтепровода Восточная Сибирь - Тихий океан в Красноярском крае, Иркутской области и Республике Саха (Якутия) (Верхнечонское, Талаканское, Среднеботуобинское, Юрубчено-Тохомское и другие месторождения).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Дальнем Востоке будет осуществляться эксплуатация производственных объектов проектов "Сахалин-1", "Сахалин-2" и других (континентальный шельф острова Сахалин).</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Одной из стратегических задач нефтяного комплекса является максимально полная утилизация и сбережение ресурсов попутного нефтяного газа. Настоящая Стратегия предусматривает, что уже к окончанию первого этапа ее реализации будет эффективно использоваться 95 процентов извлекаемого попутного нефтяного газа, в том числе путем переработки на газоперерабатывающих заводах с разделением газа на этан, пропан и бутан, а при технологической необходимости - и на изомеры бутана. Особенно актуальным этот вопрос является для районов нового освоения Восточной Сибири, где сырьевая база углеводородов носит комплексный характер - большинство месторождений содержат нефть и газ, а также имеют сложный компонентный состав.</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С учетом стратегической значимости и комплексного характера указанной задачи ее решение потребует согласованной системы мер, использующей следующие основные механизмы государственной энергетической политики.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благоприятной экономической среды: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формирование необходимого законодательного обеспечения, регламентирующего в том числе вопросы приоритетного доступа на оптовый рынок электрический энергии (мощности), произведенной за счет попутного нефтяного газа, а также приоритетного права доступа к свободным мощностям газотранспортных сетей поставщиков продукта его переработки - сухого (отбензиненного)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содействие использованию при осуществлении проектов утилизации попутного нефтяного </w:t>
      </w:r>
      <w:r w:rsidRPr="005E4CD6">
        <w:rPr>
          <w:rFonts w:ascii="Arial" w:eastAsia="Times New Roman" w:hAnsi="Arial" w:cs="Arial"/>
          <w:color w:val="2D2D2D"/>
          <w:spacing w:val="2"/>
          <w:sz w:val="21"/>
          <w:szCs w:val="21"/>
          <w:lang w:eastAsia="ru-RU"/>
        </w:rPr>
        <w:lastRenderedPageBreak/>
        <w:t>газа финансовых механизмов гибкости Киотского протокола;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освобождение от обложения таможенными пошлинами машин и оборудования, не имеющих российских аналогов, для утилизации попутного нефтяного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возможности ускоренной амортизации оборудования для утилизации попутного нефтяного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Система перспективных регламентов, стандартов и норм: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введение дополнительных коэффициентов при расчете платы за выбросы вредных (загрязняющих) веществ, образующихся при сжигании попутного нефтяного газа на факельных установках;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организация контроля за рациональным использованием и учетом объемов сжигаемого и рассеиваемого попутного нефтяного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определение требований к уровню эффективного использования попутного нефтяного газа при предоставлении в пользование участков недр, содержащих нефтяные и нефтеконденсатные месторождения.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Поддержка стратегических инициатив: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мониторинг фактических и ожидаемых результатов реализации программ нефтяных компаний по повышению степени утилизации попутного нефтяного газа и своевременное принятие необходимых синхронизирующих мер, в том числе с использованием принципов частно-государственного партнерства;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отражение вопросов повышения степени утилизации попутного нефтяного газа в программных документах федерального и регионального уровня, в частности в разрабатываемой государственной программе энергосбережения и повышения энергетической эффективности;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государственная поддержка создания технологий нового поколения для утилизации попутного нефтяного газа и реализации соответствующих пилотных проектов;</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содействие развитию малого и среднего предпринимательства в сфере утилизации попутного нефтяного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и поддержка международного сотрудничества в сфере применения и совершенствования лучших практик утилизации попутного нефтяного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Широкое развитие получит нефтехимическая и газохимическая промышленность. В новых регионах добычи будут созданы крупные нефтяные комплексы, сочетающие предприятия по добыче и переработке нефти и попутного нефтяного газа, а также нефте- и газохимические производства.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br/>
        <w:t>Опережающими темпами будет развиваться нефтеперерабатывающая промышленность. Глубина переработки нефти увеличится с 72 до 83 процентов к концу второго этапа и до 89-90 процентов - к концу третьего этапа реализации настоящей Стратегии.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Нефтеперерабатывающие заводы России имеют в своем составе практически все освоенные мировой промышленностью процессы. Однако соотношение процессов, углубляющих переработку нефти и повышающих качество топлива, и процессов первичной перегонки нефти значительно отстает от мировых показателей.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Таким образом, реконструкция и модернизация нефтеперерабатывающих заводов будет ориентирована на опережающее развитие технологических комплексов по углублению переработки нефти и снижение удельного потребления нефти на единицу целевых продуктов (каталитический крекинг, гидрокрекинг, коксование остатков, висбкрекинг, производство битумов и другие), а также на внедрение современных технологий по каталитическому риформингу бензинов, гидроочистке дизельных топлив и топлив для реактивных двигателей, изомеризации и алкилированию.</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Намечается увеличение мощностей по первичной переработке нефти (Туапсинский нефтеперерабатывающий завод - до 12 млн.тонн, Киришинефтеоргсинтез - на 12 млн.тонн), а также строительство новых нефтехимических комплексов (Республика Татарстан - не менее 7 млн.тонн в год, Дальний Восток - Приморский нефтеперерабатывающий завод - 20 млн.тонн в год). Предусматривается поддержка модернизации, увеличения мощностей и строительства нефтеперерабатывающих заводов и нефтехимических комплексов, независимых от вертикально интегрированных нефтяных компаний.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Бесспорным приоритетом при развитии глубокой переработки нефти является удовлетворение потребностей внутреннего рынка. Однако настоящая Стратегия также предусматривает оптимизацию объемов переработки нефти внутри страны (с поставкой части нефтепродуктов на экспорт) и объемов экспорта сырой нефти (с поставкой ее части в приоритетном порядке на принадлежащие российским компаниям нефтеперерабатывающие заводы за рубежом).</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Развитие трубопроводной транспортировки нефти и нефтепродуктов будет осуществляться адекватно росту объемов и диверсификации внешних и внутренних поставок жидких углеводородов. При этом планируется решать задачи дальнейшего увеличения доли трубопроводной транспортировки жидких углеводородов в общем объеме транспортировки нефти и особенно нефтепродуктов, обеспечения условий для формирования новых нефтедобывающих регионов страны, обеспечения баланса между необходимыми объемами транспортировки нефти и пропускной способностью транспортной системы, а также уменьшения зависимости России от транзита нефти и нефтепродуктов по территориям сопредельных государств.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Основными в сфере развития трубопроводного транспорта нефти и нефтепродуктов являются следующие проекты: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завершение строительства нефтепровода Восточная Сибирь - Тихий океан пропускной способностью 80 млн.тонн нефти в год;</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строительство нефтепровода Унеча - Усть-Луга (вторая нитка Балтийской трубопроводной системы);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экспортных нефтяных и нефтепродуктовых терминалов в портах Приморск, Усть-Луга, Находка;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системы нефтепродуктопроводов страны (вывод на проектную мощность нефтепродуктопровода "Север", строительство нефтепродуктопровода Андреевка - Уфа - Субханкулово - Альметьевск - Кстово, строительство нефтепродуктопровода "Юг").</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Помимо трубопроводной транспортировки нефти и нефтепродуктов будет развиваться и морская транспортировка жидких углеводородов, в том числе из прибрежных районов российской части Арктики.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сфере экспорта нефти и нефтепродуктов государство будет стремиться к диверсификации товарной структуры и направлений экспортных поставок главным образом за счет развития восточного вектора поставок. Настоящая Стратегия предусматривает увеличение доли восточного направления в структуре экспорта жидких углеводородов с 8 процентов до 22-25 процентов к концу третьего этапа реализации настоящей Стратегии.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Вместе с тем объемы экспорта нефти и нефтепродуктов в абсолютном исчислении будут оставаться стабильными на всем протяжении действия настоящей Стратегии, испытывая незначительные колебания. Ежегодные уровни экспорта жидких углеводородов будут колебаться в диапазоне 315-330 млн.тонн.</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Стратегическими направлениями внешнеэкономической активности нефтяного комплекса станут расширение присутствия российских компаний в зарубежных технологических цепочках от добычи до переработки и реализации жидких углеводородов, увеличение транзита нефти сопредельных стран через российскую территорию, формирование нового маркерного сорта российской нефти REBCO и содействие организации международной торговли этим сортом.</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На внутреннем рынке нефти и нефтепродуктов будут созданы условия для поддержания эффективности нефтяной отрасли за счет обеспечения равных и прозрачных условий хозяйствования для всех участников нефтяного рынка. Будет обеспечена высокая степень конкуренции за счет:</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стимулирования открытой торговли и развития биржевой торговли нефтью и нефтепродуктами, в том числе на региональном уровне;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определения порядка недискриминационного доступа к транспортной инфраструктуре;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исключения избыточных административных барьеров при выполнении работ по разведке, </w:t>
      </w:r>
      <w:r w:rsidRPr="005E4CD6">
        <w:rPr>
          <w:rFonts w:ascii="Arial" w:eastAsia="Times New Roman" w:hAnsi="Arial" w:cs="Arial"/>
          <w:color w:val="2D2D2D"/>
          <w:spacing w:val="2"/>
          <w:sz w:val="21"/>
          <w:szCs w:val="21"/>
          <w:lang w:eastAsia="ru-RU"/>
        </w:rPr>
        <w:lastRenderedPageBreak/>
        <w:t>добыче, хранению и транспортировке нефти, а также при получении разрешений на строительство автозаправочных станций и выделении участков под такое строительство.</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Государство будет предусматривать необходимую поддержку нефтяного бизнеса в условиях резкого падения цен на нефть на мировом рынке и (или) кризисных ситуаций на финансовом рынке путем предоставления государственных гарантий под инвестиции в развитие комплекса, рефинансирования заимствований нефтяных компаний, а также путем оптимизации налогообложения нефтяного комплекса для поддержания финансово-экономической устойчивости российских нефтяных компаний, уделяя особое внимание содействию развития малого и среднего бизнеса в нефтяной отрасли.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Энергосбережение в нефтяном комплексе будет осуществляться по следующим основным направлениям: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добыче нефти - снижение расхода нефти на технологические нужды и потери, повышение нефтеотдачи, оптимизация режима работы скважин, а также совершенствование контроля и учета нефти;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транспортировке нефти - реконструкция объектов нефтепроводов и системная организация технологических режимов их работы, сокращение потерь нефти, внедрение автоматизированных систем управления и телемеханики, улучшение технического состояния нефтеперекачивающих агрегатов, а также широкое внедрение резервуаров с плавающей крышей;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переработке нефти - повышение глубины переработки, более полное использование газов нефтепереработки, а также автоматизация оптимального ведения режимов технологических цепочек.</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первом этапе реализации настоящей Стратегии российский нефтяной комплекс обеспечит необходимые объемы добычи и экспорта нефти в соответствии с динамикой внутреннего и внешнего спроса в условиях выхода страны из экономического кризиса, а также необходимый прирост пропускной способности магистральных трубопроводов и экспортных терминалов. Будет завершен ряд ключевых неотложных инфраструктурных проектов внутрироссийского и экспортного значения, включая:</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нефтепровод Бургас - Александруполис;</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вторую нитку Балтийской трубопроводной системы;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нефтепродуктопроводы "Север" и "Юг";</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морские нефтяные терминалы в гг.Приморске, Усть-Луге и Находке.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Развитие экспортной инфраструктуры транспорта нефти позволит России диверсифицировать направления экспортных поставок и снизить транзитные риски на западном направлении. Строительство российских морских нефтяных терминалов и </w:t>
      </w:r>
      <w:r w:rsidRPr="005E4CD6">
        <w:rPr>
          <w:rFonts w:ascii="Arial" w:eastAsia="Times New Roman" w:hAnsi="Arial" w:cs="Arial"/>
          <w:color w:val="2D2D2D"/>
          <w:spacing w:val="2"/>
          <w:sz w:val="21"/>
          <w:szCs w:val="21"/>
          <w:lang w:eastAsia="ru-RU"/>
        </w:rPr>
        <w:lastRenderedPageBreak/>
        <w:t>портовой инфраструктуры для экспорта нефти обеспечит Россию собственной полноценной экспортной инфраструктурой (от скважины до порта) и снизит зависимость России от других стран в этом вопросе.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втором этапе реализации настоящей Стратегии российский нефтяной комплекс обеспечит потребности развития российской экономики в условиях качественной перестройки ее структуры в пользу менее энергоемких и инновационных отраслей. Годовая добыча сырой нефти приблизится к технологическому и экономическому максимуму. При этом падение добычи нефти в Тюменской области, основном нефтедобывающем регионе страны, будет компенсироваться ростом добычи нефти в Восточной Сибири и на Дальнем Востоке, что, учитывая компонентный состав нефтегазовых месторождений региона, будет способствовать масштабному развитию комплекса нефтехимических производств государственного значения.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Основное развитие комплекса в целом будет сфокусировано на развитии нефтепереработки и нефтехимии в целях повышения производства и реализации нефтепродуктов с высокой добавленной стоимостью.</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Будет наблюдаться тенденция к стабилизации объемов экспорта нефти, что будет стимулировать расширение использования российской инфраструктуры транспорта нефти (трубопроводы, морские терминалы) для обеспечения транзитных поставок.</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третьем этапе реализации настоящей Стратегии добыча нефти достигнет технологического и экономического максимума. При этом: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экспорт нефти и нефтепродуктов будет демонстрировать тенденцию к снижению;</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значительно интенсифицируется развитие высокотехнологичных нефтехимических производств и энергетического сервиса;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российский нефтяной комплекс будет активно использовать свои мощности для обеспечения транзита нефти, производства и экспорта продукции с высокой долей добавленной стоимости.</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5. Газовая промышленность</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Стратегическими целями развития газовой промышленности являются: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стабильное, бесперебойное и экономически эффективное удовлетворение внутреннего и внешнего спроса на газ;</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единой системы газоснабжения и ее расширение на восток России, усиление на этой основе интеграции регионов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совершенствование организационной структуры газовой отрасли в целях повышения </w:t>
      </w:r>
      <w:r w:rsidRPr="005E4CD6">
        <w:rPr>
          <w:rFonts w:ascii="Arial" w:eastAsia="Times New Roman" w:hAnsi="Arial" w:cs="Arial"/>
          <w:color w:val="2D2D2D"/>
          <w:spacing w:val="2"/>
          <w:sz w:val="21"/>
          <w:szCs w:val="21"/>
          <w:lang w:eastAsia="ru-RU"/>
        </w:rPr>
        <w:lastRenderedPageBreak/>
        <w:t>экономических результатов ее деятельности и формирование либерализованного рынка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стабильных поступлений в доходную часть консолидированного бюджета России в соответствии со значением энергетического сектора в формировании валового внутреннего продукта и экспорта на заданном временном этапе государственной энергетической политики.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Ход реализации Энергетической стратегии России на период до 2020 года в указанной сфере характеризуется следующим.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Введено в эксплуатацию крупнейшее Заполярное месторождение в Надым-Пур-Тазовском районе Тюменской области, начата добыча газа на шельфовых месторождениях проектов "Сахалин-1" и "Сахалин-2".</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Осуществляется строительство новых газопроводных систем. Достроен газопровод Ямал - Европа, построен газопровод "Голубой поток", введен в эксплуатацию завод по производству сжиженного природного газа на острове Сахалин, начато строительство газопроводов "Северный поток" и "Северные районы Тюменской области - Торжок", приняты решения о начале строительства Прикаспийского газопровода и газопровода "Южный поток".</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Проводятся активные работы по газификации регионов России и строительству региональной газотранспортной и газораспределительной инфраструктуры.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Запущен процесс постепенной управляемой либерализации внутреннего рынка газа через создание электронной торговой площадки, работающей по биржевым технологиям, на которой уже было реализовано около 10 млрд.куб.м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При рассмотрении перспектив развития газовой промышленности необходимо учитывать следующие тенденции: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истощение основных газовых месторождений Надым-Пур-Тазовского района Тюменской области и, следовательно, необходимость освоения новых центров газодобычи на полуострове Ямал, континентальном шельфе арктических морей, в Восточной Сибири и на Дальнем Востоке;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увеличение доли трудноизвлекаемых запасов (низконапорный газ) в структуре минерально-сырьевой базы газовой промышленности;</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удорожание добычи и транспортировки природного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технологии производства и транспортировки сжиженного природного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 числу основных проблем в указанной сфере относятся: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наличие инфраструктурных ограничений в сфере трубопроводной транспортировки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высокие транзитные риски экспорта газа в Европу;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недостаточный уровень развития газоперерабатывающей и газохимической промышленности;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заниженные регулируемые цены на газ на внутреннем рынке и недостаточная либерализация рынка газа в стране.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Для достижения стратегических целей развития газовой промышленности необходимо решить следующие основные задачи: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компенсация падения объемов добычи газа на старых месторождениях в Надым-Пур-Тазовском районе Тюменской области (Ямбургское, Уренгойское, Медвежье) за счет ввода новых месторождений в отдаленных районах с более сложными природно-климатическими и горно-геологическими условиями, а также создание соответствующей газотранспортной инфраструктуры для обеспечения поставок газа на внутренний рынок и диверсификации его экспортных поставок;</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активизация геолого-разведочных работ для обеспечения расширенного воспроизводства минерально-сырьевой базы отрасли в основных газодобывающих районах и на континентальном шельфе Российской Федерации, а также для освоения газовых месторождений регионального и локального значения;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своевременное обновление оборудования и труб газотранспортной системы, исключающее снижение ее пропускной способности, а также дальнейшее строительство региональной магистральной и газораспределительной инфраструктуры;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производства и экспорта сжиженного природного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газоперерабатывающей и газохимической промышленности с целью рационального использования ценных фракций углеводородного сырья и попутного нефтяного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демонополизация газового рынка, создание конкурентной среды и установление недискриминационных для всех участников правил доступа к его инфраструктуре.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Вместе с тем дальнейшее наращивание добычи газа, требующее значительных инвестиций в создание производственных мощностей и развитие инфраструктуры для транспортировки газа, влечет за собой необходимость повышения внутренних цен на газ. Внедрение рыночных принципов ценообразования на газ, поставляемый на внутренний рынок, будет способствовать устранению сложившейся деформации соотношения цен на взаимозаменяемые виды топлива (газ, уголь, мазут), снижению доли газа в потреблении топливно-энергетических ресурсов и диверсификации топливно-энергетического баланса в направлении увеличения доли угля и нетопливных ресурсов, а также приближению </w:t>
      </w:r>
      <w:r w:rsidRPr="005E4CD6">
        <w:rPr>
          <w:rFonts w:ascii="Arial" w:eastAsia="Times New Roman" w:hAnsi="Arial" w:cs="Arial"/>
          <w:color w:val="2D2D2D"/>
          <w:spacing w:val="2"/>
          <w:sz w:val="21"/>
          <w:szCs w:val="21"/>
          <w:lang w:eastAsia="ru-RU"/>
        </w:rPr>
        <w:lastRenderedPageBreak/>
        <w:t>структуры топливно-энергетического баланса к структуре геологических запасов сырья в Российской Федерации и, в конечном итоге, повышению уровня энергетической безопасности страны.</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Добыча газа будет развиваться как в традиционных газодобывающих районах, основным из которых является Западная Сибирь, так и на европейском севере России, полуострове Ямал, в новых нефтегазовых провинциях Восточной Сибири и Дальнего Востока, а также в Прикаспийском регионе.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Основным газодобывающим районом страны на рассматриваемую перспективу остается Ямало-Ненецкий автономный округ. В период до 2010 года компенсация падения добычи газа будет обеспечиваться в основном за счет освоения в Надым-Пур-Тазовском районе Тюменской области новых месторождений и подготовленных к освоению горизонтов и площадей уже разрабатываемых месторождений.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При этом для поддержания добычи на месторождениях, находящихся на поздней стадии разработки, потребуются новые технологические решения и значительные дополнительные средства для достижения высоких коэффициентов газоотдачи.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период после 2010 года прогнозируемые объемы добычи газа планируется обеспечить за счет освоения месторождений на полуострове Ямал, континентальном шельфе арктических морей, в том числе Штокмановского месторождения, в акваториях Обской и Тазовской губ, а также в Восточной Сибири и на Дальнем Востоке.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пределах полуострова Ямал открыто 26 месторождений, разведанные запасы газа которых составляют 10,4 трлн.куб.м. В ближайшие 25 лет потребуются суммарные капитальные вложения в освоение месторождений полуострова Ямал (Бованенковское, Харасавейское и другие) в размере от 166 до 198 млрд.долларов США. Начало добычи газа намечается на конец первого этапа реализации настоящей Стратегии с доведением ее до 185-220 млрд.куб.м к 2030 году.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Вводимые в разработку залежи газа в Западной Сибири будут содержать жирный газ и конденсат. Для утилизации и транспортировки такого газа широкое развитие получит газоперерабатывающая промышленность.</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Добыча газа в районах Восточной Сибири и Дальнего Востока будет развиваться на базе Ковыктинского газоконденсатного месторождения в Иркутской области, Чаяндинского нефтегазоконденсатного месторождения в Республике Саха (Якутия), месторождений углеводородов в Красноярском крае, а также шельфовых месторождений на острове Сахалин и в Западно-Камчатском секторе Тихого океана. При освоении газовых месторождений Восточной Сибири, характеризующихся высоким содержанием гелия (от 0,15 до 1 процента), потребуется развитие гелиевой промышленности, в том числе строительство ряда крупных газоперерабатывающих заводов и подземных хранилищ гелиевого концентрата.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Здесь планируется формирование следующих крупных центров газодобычи:</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Сахалинский центр газодобычи на базе месторождений шельфовой зоны острова Сахалин (проекты "Сахалин-1" и "Сахалин-2") с дальнейшим развитием центра за счет реализации проектов "Сахалин-3", "Сахалин-4", "Сахалин-5" и "Сахалин-6".</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Якутский центр газодобычи на базе Чаяндинского месторождения, с перспективой освоения соседних месторождений - Среднеботуобинского, Таас-Юряхского, Верхневилючанского и других;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Иркутский центр газодобычи на базе Ковыктинского месторождения с перспективой освоения Южно-Ковыктинской лицензионной площади и месторождений севера Иркутской области;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Красноярский центр газодобычи на базе Собинско-Пайгинского и Юрубчено-Тохомского месторождений с перспективой освоения Оморинского, Куюмбинского, Агалеевского и других месторождений.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Перспективная региональная структура добычи газа к 2030 году будет выглядеть следующим образом: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европейской части России за счет освоения Тимано-Печорской нефтегазоносной провинции и шельфовых месторождений (прежде всего Штокмановского) планируется довести добычу газа до 131-137 млрд.куб.м (против 46 млрд.куб.м в 2005 году);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Западной Сибири добыча газа ожидается на уровне 608-637 млрд.куб.м за счет освоения месторождений полуострова Ямал и акваторий Обской и Тазовской губ, призванных компенсировать выпадающие объемы добычи "старых" месторождений (Уренгойского, Медвежьего, Вынгапуровского и Ямбургского);</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Восточной Сибири и на Дальнем Востоке добыча газа вырастет до 132-152 млрд.куб.м.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сфере транспортировки газа дальнейшее развитие получит единая система газоснабжения путем подключения к ней новых объектов любых форм собственности (в том числе на основе долевого участия). Будет происходить ее экономически целесообразное постепенное расширение на восток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Протяженность магистральных газопроводов возрастет на 20-22 тыс.км к концу второго этапа и на 30-35 тыс.км к концу третьего этапа реализации настоящей Стратегии, в том числе за счет новых экспортных направлений. Будут реконструированы и модернизированы действующие магистральные газопроводы общей протяженностью 20 тыс.км к концу второго этапа и 40 тыс.км - к концу третьего этапа реализации настоящей Стратегии.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В области развития новых экспортных маршрутов приоритетная роль отводится реализации проекта "Северный поток". Российский газ по этому газопроводу будет поступать на </w:t>
      </w:r>
      <w:r w:rsidRPr="005E4CD6">
        <w:rPr>
          <w:rFonts w:ascii="Arial" w:eastAsia="Times New Roman" w:hAnsi="Arial" w:cs="Arial"/>
          <w:color w:val="2D2D2D"/>
          <w:spacing w:val="2"/>
          <w:sz w:val="21"/>
          <w:szCs w:val="21"/>
          <w:lang w:eastAsia="ru-RU"/>
        </w:rPr>
        <w:lastRenderedPageBreak/>
        <w:t>европейский рынок, минуя территории третьих стран.</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Большое значение будет также иметь создание газопровода "Южный поток", замыкающего Южно-Европейское газотранспортное кольцо.</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Для подачи газа Штокмановского месторождения в северо-западную часть России планируется строительство газопровода из северных районов Мурманской области с подключением к единой системе газоснабжения в районе г.Волхова.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Важнейшим проектом после 2010 года станет строительство многониточной газотранспортной системы протяженностью 2400 км для транспортировки газа с месторождений полуострова Ямал в район компрессорной станции Ухта и далее до г.Торжка.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рамках реализации программы создания в Восточной Сибири и на Дальнем Востоке единой системы газоснабжения будет проводиться поэтапное формирование системы газопроводов в этих регионах России для поставок газа в страны Азиатско-Тихоокеанского региона, в первую очередь в Республику Корея и Китай, с возможным в случае экономической эффективности подключением к единой системе газоснабжения.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Наряду с трубопроводной транспортировкой газа в России будут активно развиваться проекты в сфере производства и транспортировки сжиженного природного газа в первую очередь для усиления экспортных позиций Российской Федерации на внешнем рынке. Сочетание поставок сжиженного природного газа с хорошо развитой газотранспортной инфраструктурой даст мощный импульс для повышения эффективности экспорта газа с одновременной диверсификацией рынков сбыта. Это позволит выйти на совершенно новые для России рынки, в частности США и стран Азиатско-Тихоокеанского региона.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Получит стабильное развитие импорт газа из государств Центральной Азии в основном в страны ближнего зарубежья. Объемы импорта будут формироваться в зависимости от экономической конъюнктуры внешних рынков газа и состояния топливно-энергетического баланса России.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Экспорт газа, осуществляемый преимущественно на основе долгосрочных контрактов, позволит сохранить необходимый объем поставок из России на европейский рынок при кратном увеличении поставок в восточном направлении (Китай, Япония, Республика Корея). При этом российские газодобывающие компании будут активно участвовать в освоении газовых месторождений других стран (Алжир, Иран, страны Центральной Азии и другие) и строительстве новых межрегиональных газопроводов, в частности, в Южной Азии, а также координировать с этими странами свою экспортную политику.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Развитие рынка газа в Российской Федерации будет строиться на базе предоставления всем газодобывающим компаниям равных условий хозяйствования. Предусматривается функционирование секторов добычи и реализации газа на основе рыночных отношений при сохранении государственного регулирования в сфере транспортировки газа. При этом будет обеспечен порядок недискриминационного доступа субъектов рынка к газотранспортным </w:t>
      </w:r>
      <w:r w:rsidRPr="005E4CD6">
        <w:rPr>
          <w:rFonts w:ascii="Arial" w:eastAsia="Times New Roman" w:hAnsi="Arial" w:cs="Arial"/>
          <w:color w:val="2D2D2D"/>
          <w:spacing w:val="2"/>
          <w:sz w:val="21"/>
          <w:szCs w:val="21"/>
          <w:lang w:eastAsia="ru-RU"/>
        </w:rPr>
        <w:lastRenderedPageBreak/>
        <w:t>системам разного уровня и одинаковые удельные тарифы на транспортировку газа.</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После 2011 года будет осуществляться поэтапный переход к применению рыночных принципов ценообразования на газ за счет расширения нерегулируемого сегмента рынка и формирования рыночных цен на газ, учитывающих окупаемость его добычи и транспортировку, потребительские свойства, спрос и предложение, а также необходимые инвестиции для развития газовой промышленности.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Продолжится газификация городских и сельских населенных пунктов.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Будет создана широкая сеть максимально приближенных к потребителям подземных хранилищ газа, объемы которых будут соответствовать сезонной и суточной неравномерности потребления газа, в том числе обеспечивать электростанции в режиме реального спроса на электроэнергию.</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Будет увеличено использование газа как моторного топлива с соответствующим развитием его рынка.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При этом в целях снижения давления на экономику страны в условиях неизбежного роста внутренних цен на газ государство будет использовать внеценовые инструменты поддержки инвестиционной деятельности в газовом секторе (налоговые, кредитные, бюджетные и другие), а также будет регулировать верхний предел цен на газ для населения.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условиях резкого падения мировых цен на углеводороды и (или) кризисных ситуаций на мировом финансовом рынке государство обеспечит поддержку газовых компаний путем предоставления государственных гарантий под инвестиции в развитие комплекса, рефинансирования заимствований и оптимизации налогообложения.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Энергосбережение в газовой промышленности будет осуществляться по следующим основным направлениям: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добыче газа - снижение расхода газа на технологические нужды, оптимизация режима работы технологических объектов, совершенствование контроля и учета газа, а также повышение газоотдачи пластов;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транспортировке газа - реконструкция газотранспортных объектов и системная организация технологических режимов работы магистральных газопроводов, сокращение потерь газа, внедрение автоматизированных систем управления и телемеханики, улучшение технического состояния газоперекачивающих агрегатов, внедрение высокоэффективных газотурбинных приводов для газоперекачивающих агрегатов с высоким коэффициентом полезного действия, а также расширение использования газоперекачивающих агрегатов с регулируемым электроприводом;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переработке газа - повышение степени утилизации тепла технологических потоков, повышение коэффициента полезного действия тепловых агрегатов на газовом топливе, а также оптимизация и автоматизация технологических процессов;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br/>
        <w:t>в подземном хранении газа - оптимизация буферного объема газа, снижение пластовых потерь газа и использование в качестве буферного объема непромышленных газов (азота, дымовых газов и других).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первом этапе реализации настоящей Стратегии российская газовая промышленность обеспечит внутренние и экспортные потребности российской экономики в природном газе главным образом за счет эксплуатации действующих и ввода новых месторождений Надым-Пур-Тазовского района Тюменской области. Вместе с тем будут проводиться активные работы по подготовке и вовлечению в эксплуатацию новых газовых месторождений полуострова Ямал, Восточной Сибири, Дальнего Востока и континентального шельфа арктических морей.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Будет завершен ряд важнейших неотложных инфраструктурных проектов международного и национального значения, в том числе: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газопровод "Северный поток";</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газопровод "Северные районы Тюменской области - Торжок".</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Реализация указанных инфраструктурных проектов позволит подготовить транспортную инфраструктуру для начала масштабного освоения полуострова Ямал, снизить транзитные риски в отношении экспорта газа на европейском направлении и обеспечить возможность расширения транзита центральноазиатского газа в Европу с использованием российской газотранспортной системы.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Наряду с развитием трубопроводной инфраструктуры будет развиваться система подземного хранения газа, которая позволит создать оперативные резервы газа в главных регионах его потребления с целью минимизации рисков топливоснабжения в пиковые периоды спроса.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базе завода по производству сжиженного природного газа на острове Сахалин начнется экспорт российского сжиженного природного газа в страны Азиатско-Тихоокеанского региона.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Планируется строительство новых газоперерабатывающих и газохимических комплексов в Западной и Восточной Сибири для обеспечения комплексной переработки углеводородного сырья и производства продукции с высокой добавленной стоимостью.</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внутреннем рынке будет активно проводиться управляемая либерализация, основанная на принципе обеспечения равной доходности поставок газа на внутренний рынок и на экспорт. Будет развиваться биржевая торговля природным газом, основанная на прозрачных и недискриминационных условиях доступа всех участников рынка к газотранспортной инфраструктуре.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На втором этапе реализации настоящей Стратегии российская газовая промышленность </w:t>
      </w:r>
      <w:r w:rsidRPr="005E4CD6">
        <w:rPr>
          <w:rFonts w:ascii="Arial" w:eastAsia="Times New Roman" w:hAnsi="Arial" w:cs="Arial"/>
          <w:color w:val="2D2D2D"/>
          <w:spacing w:val="2"/>
          <w:sz w:val="21"/>
          <w:szCs w:val="21"/>
          <w:lang w:eastAsia="ru-RU"/>
        </w:rPr>
        <w:lastRenderedPageBreak/>
        <w:t>полностью обеспечит потребности экономики России в условиях посткризисного развития, однако существенно изменится география как добычи, так и экспорта газа. Новые районы добычи газа (полуостров Ямал, континентальный шельф арктических морей, Восточная Сибирь и Дальний Восток) будут обеспечивать более одной третьей объема добычи газа в стране. Также будет решена стратегическая задача диверсификации направлений и товарной номенклатуры экспорта российского газа за счет развития восточного экспортного направления и строительства новых терминалов по производству сжиженного природного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втором этапе планируются ввод в эксплуатацию Штокмановского месторождения, месторождений акваторий Обской и Тазовской губ, начало освоения Восточно-Сибирских и Якутского газовых центров, а также активная фаза строительства газотранспортной системы на востоке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Россия будет наращивать усилия по консолидации вокруг своей газотранспортной инфраструктуры основных региональных газодобывающих центров (страны Центральной Азии, Иран) и формировать евразийскую интегрированную газотранспортную систему для обеспечения экспортных и транзитных перетоков между Европой и Азией (в частности, будет завершено строительство газопровода "Южный поток").</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третьем этапе реализации настоящей Стратегии российская газовая промышленность будет развиваться в изменившихся условиях внутреннего и внешнего спроса на газ, обусловленных переходом мировой экономики и энергетики на новый технологический уровень, характеризующийся высокой энергоэффективностью бизнеса и расширенным использованием неуглеводородных источников 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этих условиях развитие российской газовой промышленности будет направлено на расширение сферы использования газа в экономике не только как энергоносителя, но и как ценного химического продукта. Широкое развитие получат высокотехнологичная газохимия и производство синтетического жидкого топлива на основе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Внутри страны завершится газификация регионов, продолжатся работы по расширению восточной газотранспортной системы с возможным в случае экономической эффективности подключением к единой системе газоснабжения. Более одной четвертой объема добычи газа в стране будут давать независимые производители газа, тогда как доля открытого акционерного общества "Газпром" снизится адекватно состоянию ресурсной базы компании на указанный период. Начнется освоение месторождений арктических морей на востоке страны. Будут созданы технологические предпосылки для добычи и промышленного использования газогидратов. Российская трубопроводная инфраструктура станет составной частью энергомоста между Европой и Азией, а Россия - ключевым центром по ее управлению.</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6. Угольная промышленность</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lastRenderedPageBreak/>
        <w:br/>
        <w:t>Стратегическими целями развития угольной промышленности являются: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надежное и эффективное удовлетворение внутреннего и внешнего спроса на высококачественное твердое топливо и продукты его переработки;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конкурентоспособности угольной продукции в условиях насыщенности внутреннего и внешнего рынков альтернативными энергоресурсами;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повышение уровня безопасности функционирования угледобывающих предприятий и снижение их вредного воздействия на окружающую среду.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Ход реализации Энергетической стратегии России на период до 2020 года в указанной сфере характеризуется следующим.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целом завершена реструктуризация угольной промышленности, обеспечившая ее трансформацию из планово-убыточной в эффективно функционирующую отрасль.</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Завершается программа закрытия убыточных и неперспективных угольных предприятий, осуществляется строительство новых высокоэффективных угольных производств, что приводит к снижению издержек угольного производства, росту производительности труда и уменьшению производственного травматизма.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Прекращено дотирование угольной промышленности государством, а развитие предприятий отрасли осуществляется в основном за счет собственных средств и заемных финансовых ресурсов (около одной третьей общего объема инвестиций).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Возобновился после длительного перерыва ввод новых мощностей по добыче угля главным образом в Кузнецком бассейне.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Балансовый прирост мощностей по добыче угля в отрасли за последнее 5-летие превысил 80 млн.тонн, а мощностей по обогащению угля - 40 млн.тонн.</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Возрос объем переработки угля на обогатительных фабриках с 85 млн.тонн (30 процентов) до 127 млн.тонн (40 процентов). При этом объем обогащения каменного энергетического угля увеличился в 2,7 раза.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Увеличился экспорт угля с 60,7 до 97,5 млн.тонн (в 1,6 раза).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При рассмотрении перспектив развития угольной промышленности необходимо учитывать следующие тенденции: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исчерпание потенциала развития действующих угольных бассейнов в европейской части страны и на Урале;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замедление темпов освоения новых угольных месторождений;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br/>
        <w:t>удорожание добычи и транспортировки угля.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 числу основных проблем в указанной сфере относятся: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сокращение внутреннего спроса на энергетический уголь;</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зависимость предприятий отрасли от величины экспортных доходов;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высокая доля затрат на транспортную составляющую в цене угольной продукции;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недостаточные темпы обновления основных производственных фондов, высокий уровень износа оборудования и недостаточность средств на его модернизацию;</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низкое по отношению к мировому уровню качество угольной продукции;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недостаточность инвестиционных средств для реализации масштабных инфраструктурных проектов по развитию ресурсно-производственного потенциала угольной промышленности;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недостаточный инновационный потенциал угольной промышленности, слабое развитие российского угольного машиностроения и вызванная этим усиливающаяся зависимость отрасли от импорта технологий и оборудования;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сохранение высокого уровня социальной напряженности в угледобывающих регионах, обусловленного низкой занятостью населения, дефицитом и низким качеством социальных услуг, а также высоким уровнем травматизма в отрасли и общим экологическим неблагополучием;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нарастающий дефицит квалифицированных трудовых кадров.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Для достижения стратегических целей развития угольной промышленности необходимо решить следующие основные задачи: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завершение работ по закрытию убыточных и неперспективных угольных предприятий;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устойчивого и рационального воспроизводства минерально-сырьевой базы угольной промышленности;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рационализация структуры и территориального размещения производственных мощностей по добыче и обогащению угля, обеспечивающая эффективное использование ресурсного потенциала отрасли;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продолжение развития транспортной и портовой инфраструктуры для перевозки угольных грузов по экономически обоснованным тарифам, обеспечивающей диверсификацию направлений их поставки;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повышение эффективности процессов государственного регулирования в угольной промышленности и процессов корпоративного управления, обеспечивающих стабильность развития организаций угольной промышленности и способствующих росту их конкурентоспособности;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повышение эффективности добычи, обогащения и переработки угля на основе совершенствования применяемых технологий и оборудования, а также внедрения передовых организационных решений;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организация производства высококачественной конечной продукции (синтетическое жидкое топливо, этанол и другие продукты углехимии с высокой добавленной стоимостью), комплексное использование угля и сопутствующих ресурсов, включая добычу шахтного метана;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интенсификация природоохранных мероприятий в отрасли;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предприятий угольной промышленности квалифицированными специалистами, ориентированными на длительные трудовые отношения и развитие профессиональной карьеры.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добычи угля предусматривается в базовых бассейнах - Кузнецком и Канско-Ачинском. В средне- и долгосрочной перспективе наряду с базовыми бассейнами значительное развитие получит добыча угля на новых месторождениях Восточной Сибири и Дальнего Востока (Ургальское, Элегестское, Эльгинское, Апсатское). Кроме того, при подтверждении экономической целесообразности сможет получить развитие добыча угля на Сейдинском (Республика Коми) и Сосьвинском (Ханты-Мансийский автономный округ - Югра) месторождениях, а также в Беринговском угольном бассейне (Чукотский автономный округ).</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целях дальнейшего развития экспортного потенциала отрасли предусматривается строительство необходимой портовой инфраструктуры (порт Восточный, Ванино, Усть-Луга, Мурманский глубоководный порт) и строительство новых портов с высокопроизводительными угольными терминалами, в том числе на побережье Черного моря, а при подтверждении экономической целесообразности - на северотихоокеанском побережье.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Намечаемое в рамках политики формирования рационального топливно-энергетического баланса увеличение доли угля в топливно-энергетическом балансе потребует наряду с созданием условий для эффективной межтопливной конкуренции оптимизации издержек на производство угольной продукции при одновременном совершенствовании системы налогообложения в отрасли и применении схем гибкого тарифного регулирования на перевозку угля железнодорожным транспортом.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Совершенствование системы экономического регулирования в угольной отрасли предусматривает:</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переход к системе налогообложения на основе рентного подхода;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осуществление мер по рационализации налоговой нагрузки в отрасли;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освобождение от обложения таможенными пошлинами машин и оборудования для угольной промышленности, не имеющих российских аналогов;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применение механизмов частно-государственного партнерства, включая субсидирование части процентных ставок по кредитам, привлеченным в российских финансовых институтах, для стимулирования процессов обновления основных фондов отрасли, формирования новых центров угледобычи, реализации инновационных проектов (создание чистых угольных технологий, стандартизованного угольного топлива, углехимических производств, добыча шахтного метана) и развития железнодорожной и портовой инфраструктуры;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совершенствование системы регулирования железнодорожных тарифов при поставке угля на внутренний и внешние рынки, в том числе в зависимости от рыночной конъюнктуры цен на уголь и стоимости морских перевозок угля;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системы прямых и долгосрочных контрактов, предусматривающих в том числе льготное тарифообразование на осуществляемые по указанным контрактам перевозки высококачественного энергетического угля для использования на российских тепловых электростанциях;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введение обязательного порядка формирования ликвидационного фонда для угледобывающих организаций;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рациональное использование механизма установления таможенных пошлин на импортируемый уголь;</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биржевой торговли угольной продукцией.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Совершенствование институциональной структуры отрасли и процессов корпоративного управления предусматривает:</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формирование лизинговой компании, обеспечивающей предоставление высокотехнологичного горно-шахтного, горнотранспортного и обогатительного оборудования;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повышение прозрачности угольного бизнеса, включая внедрение международных стандартов финансовой отчетности и упорядочение структуры вертикально интегрированных компаний;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развитие сервисных и вспомогательных предприятий (аутсорсинг) для обслуживания основного бизнеса угледобывающих компаний, включая создание специализированных компаний, выполняющих комплекс научно-исследовательских, проектно-конструкторских и внедренческих работ, в том числе в области дегазации шахт, с доведением в перспективе </w:t>
      </w:r>
      <w:r w:rsidRPr="005E4CD6">
        <w:rPr>
          <w:rFonts w:ascii="Arial" w:eastAsia="Times New Roman" w:hAnsi="Arial" w:cs="Arial"/>
          <w:color w:val="2D2D2D"/>
          <w:spacing w:val="2"/>
          <w:sz w:val="21"/>
          <w:szCs w:val="21"/>
          <w:lang w:eastAsia="ru-RU"/>
        </w:rPr>
        <w:lastRenderedPageBreak/>
        <w:t>доли аутсорсинга в затратах на добычу 1 тонны угля до 30-35 процентов.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Совершенствование системы технического регулирования в отрасли предусматривает:</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повышение нормативных требований к обеспечению безопасности и комфортных условий труда на угольных предприятиях, включая разработку новой редакции нормативных документов в области безопасности применяемого оборудования, а также средств индивидуальной защиты шахтеров и защитных систем, применяемых во взрывоопасных средах;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регулярный технический аудит состояния основных фондов угледобывающих предприятий;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разработку и внедрение технических регламентов, повышающих требования к качеству угольного топлива, включая установление стандартов качества по видам потребления угля, организацию сертификации продукции, внедрение на предприятиях международных стандартов качества.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Предусматривается последовательное приведение нормативных требований к организациям угольной отрасли в сфере охраны окружающей среды в соответствие с мировыми стандартами.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Планируется осуществление мероприятий по повышению социальной защищенности работников и качества трудовых отношений в отрасли, включая разработку социальных стандартов, создание системы обязательного страхования промышленного персонала на угледобывающих предприятиях, а также дальнейшее совершенствование информационно-аналитического обеспечения в угольной промышленности, позволяющего в том числе осуществлять регулярный комплексный мониторинг ситуации в отрасли.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первом этапе реализации настоящей Стратегии в угольной промышленности планируются: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реализация комплекса программных мер по стабилизации ситуации в отрасли в условиях снижения объемов производства угля;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завершение мероприятий по реструктуризации отрасли;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техническое перевооружение и интенсификация угольного производства;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увеличение объемов обогащения угля;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снижение аварийности и травматизма на угледобывающих предприятиях;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дальнейшее развитие экспортного потенциала отрасли.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Второй этап реализации настоящей Стратегии в части развития угольной промышленности предусматривает формирование новых центров угледобычи на новых угольных </w:t>
      </w:r>
      <w:r w:rsidRPr="005E4CD6">
        <w:rPr>
          <w:rFonts w:ascii="Arial" w:eastAsia="Times New Roman" w:hAnsi="Arial" w:cs="Arial"/>
          <w:color w:val="2D2D2D"/>
          <w:spacing w:val="2"/>
          <w:sz w:val="21"/>
          <w:szCs w:val="21"/>
          <w:lang w:eastAsia="ru-RU"/>
        </w:rPr>
        <w:lastRenderedPageBreak/>
        <w:t>месторождениях с благоприятными горно-геологическими условиями, оснащение предприятий отрасли современной высокопроизводительной техникой и технологиями, отвечающими мировым экологическим нормам, снятие системных ограничений при транспортировке угольных грузов на внутренний и внешний рынки, развитие системы аутсорсинга, достижение максимальной переработки каменного энергетического угля с учетом требований внутреннего рынка, реализация пилотных проектов на базе российских технологий глубокой переработки угля и добычи шахтного метана.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Третий этап реализации настоящей Стратегии в части развития угольной промышленности предусматривает кардинальное повышение производительности труда при обеспечении мировых стандартов в области промышленной безопасности и охраны труда, экологической безопасности при добыче и обогащении угля, промышленное получение продуктов глубокой переработки угля (синтетическое жидкое топливо, этанол и другие) и сопутствующих ресурсов (метан, подземные воды, строительные материалы).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7. Электроэнергетика</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Стратегическими целями развития электроэнергетики являются: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энергетической безопасности страны и регионов;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удовлетворение потребностей экономики и населения страны в электрической энергии (мощности) по доступным конкурентоспособным ценам, обеспечивающим окупаемость инвестиций в электроэнергетику;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надежности и безопасности работы системы электроснабжения России в нормальных и чрезвычайных ситуациях;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инвестиционно-инновационное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использования электроэнергии.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Ход реализации Энергетической стратегии России на период до 2020 года в указанной сфере характеризуется следующим.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За прошедший период с начала реализации Энергетической стратегии России на период до 2020 года в связи с более ускоренным развитием экономики страны спрос на электроэнергию рос более высокими темпами, чем прогнозировалось. В то же время ввод новых мощностей в электроэнергетике существенно отставал от прогноза, предусмотренного указанной стратегией, и не в полной мере удовлетворял потребности растущей экономики.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За рассматриваемый период был завершен первый этап процесса реформирования отрасли, в рамках которого была создана единая генерирующая компания, владеющая и </w:t>
      </w:r>
      <w:r w:rsidRPr="005E4CD6">
        <w:rPr>
          <w:rFonts w:ascii="Arial" w:eastAsia="Times New Roman" w:hAnsi="Arial" w:cs="Arial"/>
          <w:color w:val="2D2D2D"/>
          <w:spacing w:val="2"/>
          <w:sz w:val="21"/>
          <w:szCs w:val="21"/>
          <w:lang w:eastAsia="ru-RU"/>
        </w:rPr>
        <w:lastRenderedPageBreak/>
        <w:t>управляющая атомными электростанциями, - открытое акционерное общество "Концерн по производству электрической и тепловой энергии на атомных станциях", ликвидировано открытое акционерное общество "РАО "ЕЭС России" и создана на его базе группа независимых компаний, включающая 6 оптовых генерирующих компаний, 14 территориальных генерирующих компаний, открытое акционерное общество "Федеральная сетевая компания Единой энергетической системы", открытое акционерное общество "РусГидро", открытое акционерное общество "Системный оператор Единой энергетической системы", открытое акционерное общество "Холдинг межрегиональных распределительных сетевых компаний", открытое акционерное общество "РАО Энергетические системы Востока" (для управления электроэнергетикой Дальнего Востока), открытое акционерное общество "ИНТЕР РАО ЕЭС" (для осуществления экспорта-импорта электроэнергии), энергосбытовые компании, а также ряд научных, проектных, сервисных и ремонтных организаций.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Сформирована коммерческая инфраструктура оптового рынка электрической энергии (мощности). Учрежден коммерческий оператор указанного оптового рынка - открытое акционерное общество "Администратор торговой системы" и создана саморегулируемая организация, объединяющая субъектов электроэнергетики и крупных потребителей электрической и тепловой энергии.</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Был запущен процесс развития конкуренции на оптовом рынке электрической энергии (мощности), предусматривающий постепенный отказ от государственного регулирования цен на электроэнергию и переход к свободному ценообразованию для всех потребителей, за исключением населения, в ценовых зонах указанного оптового рынка (окончательно отказаться от государственного регулирования цен предполагается к 2011 году).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При рассмотрении перспектив развития электроэнергетики необходимо учитывать следующие тенденции: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изменение географии электропотребления в стране, проявляющееся в смещении центров электропотребления в восточные регионы страны и в города европейской части России;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рост сезонных и суточных пиковых нагрузок в Единой энергетической системе России.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 числу основных проблем в указанной сфере относятся: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дефицит генерирующих и сетевых мощностей в ряде регионов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отсутствие электрической связи Сибирь - Урал - Центр с пропускной способностью, позволяющей эффективно использовать сибирские гидро- и топливные ресурсы, реализовать эффекты широтной протяженности Единой энергетической системы России и другие системные эффекты;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неоптимальная структура генерирующих мощностей, обусловленная недостатком полупиковых и пиковых маневренных электростанций;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снижение надежности электроснабжения, обусловленное высоким износом основных производственных фондов и отсутствием необходимых инвестиций для их масштабного и своевременного обновления;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длительное технологическое отставание в создании и освоении современных парогазовых, экологически чистых угольных и электросетевых технологий;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низкая энергетическая и экономическая эффективность отрасли (низкий коэффициент полезного действия большинства тепловых электростанций, высокие потери в электрических сетях, неоптимальная загрузка генерирующих мощностей в Единой энергетической системе России, в том числе наличие "запертых" мощностей);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крайне высокая зависимость электроэнергетики от природного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отсутствие полноценного конкурентного рынка электроэнергии и мощности;</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недостаточность инвестиционных ресурсов для развития электросетевой инфраструктуры с целью обеспечения выдачи мощности новых генерирующих объектов и обеспечения технологического присоединения потребителей к электрическим сетям;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наличие перекрестного субсидирования между группами потребителей электроэнергии и между электрической и тепловой энергией на внутреннем рынке.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Для достижения стратегических целей развития электроэнергетики необходимо решить следующие основные задачи: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сбалансированное развитие генерирующих и сетевых мощностей, обеспечивающих необходимый уровень надежности снабжения электроэнергией как страны в целом, так и отдельных ее регионов;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дальнейшее развитие Единой энергетической системы России, в том числе за счет присоединения и объединения изолированных энергосистем;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расширенное строительство и модернизация основных производственных фондов в электроэнергетике (электростанции, электрические сети) для обеспечения потребностей экономики и общества в электроэнергии;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конкурентных отношений на розничных рынках электроэнергии, обеспечение экономической обоснованности цен и тарифов на соответствующие товары и услуги;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опережающее развитие атомной, угольной и возобновляемой энергетики (включая гидроэнергетику), направленное на снижение зависимости отрасли от природного газа, а также на диверсификацию топливно-энергетического баланса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расширенное внедрение новых экологически чистых и высокоэффективных технологий сжигания угля, парогазовых установок с высокими коэффициентами полезного действия, </w:t>
      </w:r>
      <w:r w:rsidRPr="005E4CD6">
        <w:rPr>
          <w:rFonts w:ascii="Arial" w:eastAsia="Times New Roman" w:hAnsi="Arial" w:cs="Arial"/>
          <w:color w:val="2D2D2D"/>
          <w:spacing w:val="2"/>
          <w:sz w:val="21"/>
          <w:szCs w:val="21"/>
          <w:lang w:eastAsia="ru-RU"/>
        </w:rPr>
        <w:lastRenderedPageBreak/>
        <w:t>управляемых электрических сетей нового поколения и других новых технологий для повышения эффективности отрасли;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живучести, режимной надежности, безопасности и управляемости электроэнергетических систем, а также необходимого качества электроэнергии;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малой энергетики в зоне децентрализованного энергоснабжения за счет повышения эффективности использования местных энергоресурсов, развития электросетевого хозяйства, сокращения объемов потребления завозимых светлых нефтепродуктов;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разработка и реализация механизма сдерживания цен за счет технологического инновационного развития отрасли, снижения затрат на строительство генерирующих и сетевых мощностей, развития конкуренции в электроэнергетике и смежных отраслях, а также за счет создания государственной системы управления развитием электроэнергетики;</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снижение негативного воздействия электроэнергетики на окружающую среду на основе применения наилучших технологий.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рамках реализации стратегической инициативы по развитию нетопливной энергетики прогнозируется значительный (в 2-2,5 раза) рост объемов производства электроэнергии на базе атомных электростанций и возобновляемых источников энергии. В целом предусматривается увеличить к концу третьего этапа реализации настоящей Стратегии долю нетопливных источников в производстве электроэнергии примерно с 32 процентов (2008 год) до не менее чем 38 процентов. При этом конкретные траектории и относительные темпы развития каждой из указанных нетопливных составляющих на различных этапах реализации настоящей Стратегии подлежат уточнению в рамках соответствующих программных документов, в первую очередь в рамках Генеральной схемы размещения объектов электроэнергетики.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Перспективные уровни производства электроэнергии определяются ожидаемой динамикой внутреннего спроса на нее, которая будет существенно опережать рост спроса на первичные топливно-энергетические ресурсы. При этом темпы увеличения потребления электроэнергии будут определяться региональными стратегиями социально-экономического развития, в результате чего в Восточной Сибири и на Дальнем Востоке они будут существенно выше, чем средние темпы по России.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Региональная структура генерирующих мощностей в соответствии с ожиданиями внутреннего спроса, требованиями обеспечения энергетической безопасности страны и повышения надежности электроснабжения будет формироваться следующим образом.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европейской части России: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атомные электростанции с увеличением их доли в базовой части графика электрических нагрузок при синхронизации вводов новых блоков атомных электростанций с гидроаккумулирующими электростанциями;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br/>
        <w:t>тепловые электростанции с заменой газомазутных паросиловых энергоблоков на парогазовые и выводом из работы старого оборудования. Замена паросиловых на парогазовые установки будет поддержана мерами экономического характера, включая введение платы за выбросы углекислого газа и прямое запрещение использования устаревшего оборудования, не отвечающего современным технологическим и экологическим стандартам;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парогазовые, газотурбинные и модернизированные паротурбинные теплоэлектроцентрали разной мощности, в том числе блок-станции, работающие преимущественно на газе и отчасти на угле (там, где уголь является проектным топливом);</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гидроаккумулирующие электростанции и газотурбинные установки для покрытия пиковой части графика нагрузок.</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При этом генерация в полупиковой части графика нагрузок будет обеспечиваться действующими тепловыми электростанциями (с их модернизацией), гидрогенерирующими электростанциями (строящимися) на Северном Кавказе при частичной разгрузке наименее экономичных тепловых электростанций. После завершения строительства высоковольтного электрического транзита по направлению Сибирь - Урал - Центр в покрытии графика электрических нагрузок может принимать участие (в меру экономической эффективности) мощность сибирских электростанций, передаваемая по магистральным линиям электропередачи сверхвысоких напряжений.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Сибири и на Дальнем Востоке: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гидрогенерирующие электростанции, действующие и сооружаемые для покрытия всех зон графика электрических нагрузок, с доминированием их мощностей в полупиковой и пиковой части графика нагрузок;</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тепловые электростанции, работающие в основном на угольном топливе Кузнецкого и Канско-Ачинского бассейнов, а также Иркутского бассейна, забайкальских и дальневосточных месторождений (использование тепловых электростанций, работающих на газовом топливе, предусматривается в этих регионах лишь для теплоэлектроцентралей в крупных газифицированных городах из соображений снижения экологической нагрузки);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тепловых электростанций, работающих на газе в районе крупных месторождений природного газа (Ханты-Мансийский автономный округ - Югра и Ямало-Ненецкий автономный округ), в том числе с использованием остающихся в отработанных месторождениях запасов низконапорного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использование энергии атомных источников большой, средней и малой мощности в районах их потенциальной конкурентоспособности (Томская область, Крайний Север, Дальний Восток и другие);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развитие малой энергетики на возобновляемых источниках энергии, в том числе путем </w:t>
      </w:r>
      <w:r w:rsidRPr="005E4CD6">
        <w:rPr>
          <w:rFonts w:ascii="Arial" w:eastAsia="Times New Roman" w:hAnsi="Arial" w:cs="Arial"/>
          <w:color w:val="2D2D2D"/>
          <w:spacing w:val="2"/>
          <w:sz w:val="21"/>
          <w:szCs w:val="21"/>
          <w:lang w:eastAsia="ru-RU"/>
        </w:rPr>
        <w:lastRenderedPageBreak/>
        <w:t>замещения локальной дизельной генерации.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Настоящая Стратегия предусматривает особые направления перспективного развития для теплоэнергетики, атомной энергетики и гидроэнергетики, а также для Единой энергетической системы России и электросетевого комплекса.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Так, в теплоэнергетике будет реализовываться стратегическое направление опережающего развития угольных тепловых электростанций, особенно в Восточной Сибири и на Дальнем Востоке.</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В результате доля угля в потреблении топлива тепловыми электростанциями к концу третьего этапа реализации настоящей Стратегии увеличится соответственно с 26 до 34-36 процентов, а доля газа, наоборот, снизится с 70 до 60-62 процентов.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Перспективы развития атомной энергетики базируются на учете текущей ситуации в строительстве атомных электростанций, а также на следующих положениях: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европейской части России в условиях дорожающего органического топлива атомные электростанции повышенной безопасности позволяют замыкать энергетический баланс, экономя органическое топливо;</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атомной энергетики обеспечивает разработку все более совершенных ядерных технологий, позволяющих решать энергетические проблемы человечества в будущем;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при развитии атомной энергетики необходима разработка и внедрение мероприятий по выравниванию неравномерностей графика электрических нагрузок путем экономического стимулирования потребителей к обеспечению более равномерного по часам суток использования электрической энергии в районах действия атомных электростанций с учетом их использования в базовом режиме, а также их совместной работы с гидроаккумулирующими электростанциями.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Главной задачей развития гидроэнергетики на весь период действия настоящей Стратегии является дальнейшее освоение богатых гидроресурсов России в увязке со спросом на электроэнергию и режимами ее потребления.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Прогнозная оценка объемов производства электроэнергии на гидрогенерирующих электростанциях исходит из следующих предпосылок:</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прирост производства электроэнергии на гидроэлектростанциях в европейской части России будет небольшим в основном за счет ввода в действие гидроэлектростанций на Северном Кавказе и реализации программы строительства гидроаккумулирующих электростанций, необходимых для режимного (суточного) регулирования мощностей энергосистем. Предусматривается увеличение мощности и выработки электроэнергии на действующих гидроэлектростанциях, в основном на Чебоксарском и Нижнекамском гидроузлах, за счет повышения уровней водохранилищ до проектных отметок;</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прирост производства электроэнергии на гидроэлектростанциях в Сибири и на Дальнем Востоке будет определяться их технико-экономическими показателями и конкурентоспособностью по отношению к тепловым электростанциям, работающим на угле, с учетом их экологического воздействия на окружающую среду и возможностей покрытия графиков нагрузки. Важное значение будет также иметь возможность достижения мультипликативных эффектов развития этих регионов, связанных с вводом новых гидрогенерирующих мощностей и созданием на их основе кластеров промышленных производств - потребителей энергии гидроэлектростанций.</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Магистральным направлением достижения указанных мультипликативных эффектов может при соответствующем экономическом и экологическом обосновании являться сооружение следующих крупных системообразующих гидроэнергетических комплексов: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Нижнеангарский гидроэнергетический комплекс;</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Южно-Якутский гидроэнергетический комплекс в составе нескольких гидроэлектростанций на реках Учур, Тимптон, Алдан и Олекма;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Витимский гидроэнергетический комплекс;</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Нижнеенисейcкий гидроэнергетический комплекс на основе Эвенкийской гидроэлектростанции мощностью 12 млн.кВт.</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Электроэнергия этих гидроэнергетических комплексов будет использоваться для освоения значительных местных природных ресурсов, создания региональной горнодобывающей и обрабатывающей промышленности и будет передаваться по сооружаемым с этой целью линиям электропередачи постоянного и переменного тока сверхвысокого напряжения на Урал, в европейскую часть России и промышленные районы Сибири и Дальнего Востока.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Конкретное развитие тех или иных генерирующих источников будет определяться их сравнительными технико-экономическими показателями, условиями топливоснабжения, характером (масштабом и структурой) энергопотребления, экологическими и социальными факторами. Получит развитие, особенно в районах невысокой плотности нагрузки, малая энергетика и децентрализованное электроснабжение с активным использованием всех видов местных и вторичных энергоресурсов.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целом, в результате развития генерирующих мощностей: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генерирующие мощности, работающие на газе, к 2030 году будут представлять собой в основном парогазовые установки с коэффициентом полезного действия 53-55 процентов, газотурбинные установки или в необходимых случаях сочетание последних с котлом-утилизатором;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генерирующие мощности, работающие на угле, будут представлять собой установки, работающие на суперкритических параметрах пара, с коэффициентом полезного действия от 46 до 55 процентов (в случае использования качественного высококалорийного угля), </w:t>
      </w:r>
      <w:r w:rsidRPr="005E4CD6">
        <w:rPr>
          <w:rFonts w:ascii="Arial" w:eastAsia="Times New Roman" w:hAnsi="Arial" w:cs="Arial"/>
          <w:color w:val="2D2D2D"/>
          <w:spacing w:val="2"/>
          <w:sz w:val="21"/>
          <w:szCs w:val="21"/>
          <w:lang w:eastAsia="ru-RU"/>
        </w:rPr>
        <w:lastRenderedPageBreak/>
        <w:t>установки, оборудованные котлами с циркулирующим кипящем слоем, котлами с низкотемпературным вихрем, и определенное количество установок, работающих на сверхкритических параметрах пара. Также будут осваиваться установки с газификацией угля и энерготехнологические установки. Общий средний коэффициент полезного действия производства электроэнергии на установках, работающих на угле, составит около 41 процента.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атомной энергетике будут работать атомные электростанции с водо-водяными реакторами, реакторами на быстрых нейтронах с натриевым теплоносителем, демонстрационные реакторы со свинцовым и свинец-висмутовым теплоносителем, а также высокотемпературный ядерный реактор с газовым охлаждением.</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Предполагается широко использовать гидроэлектростанции различных мощностей с их концентрацией в регионах Сибири и Дальнего Востока, выполняющих системообразующую роль и участвующих в обеспечении покрытия графика нагрузки.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Энергетика, основанная на возобновляемых источниках энергии, будет развиваться в том числе в виде малых гидроэлектростанций, солнечных энергоустановок, геотермальных электростанций и теплоснабжающих установок, биоэнергетических и ветровых установок, мусоросжигающих и мусороперерабатывающих энергокомплексов в крупных городах. Возможно использование энергии приливов.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Производство тепла будет сосредоточено на теплоцентралях с уменьшением их роли в теплоснабжении за счет развития систем когенерации (газотурбинная установка с котлом-утилизатором) и автономных теплоснабжающих установок. В 2030 году доля тепла, производимого на теплоэлектроцентралях в системах централизованного теплоснабжения, уменьшится с 43 (2005 год) до 35 процентов. Эту нишу займут газотурбинные установки на теплоэлектроцентралях и автономные установки.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Большое развитие получат установки распределенной генерации электроэнергии в виде газотурбинных установок и их сочетания с котлом-утилизатором, которые будут замещать существующие котельные. Указанные установки мощностью от 10 кВт до 60-70 МВт будут выполнять роль как локальных источников энергоснабжения, так и источников покрытия переменной части графика нагрузки, увеличивая тем самым коэффициент использования установленной мощности наиболее мощных энергоустановок. Доля распределенной генерации может достичь 15 процентов в производстве электроэнергии на тепловых электростанциях.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Таким образом, генерирующие мощности в 2030 году будут состоять из энергоустановок, работающих на передовых технологиях мирового уровня, позволяющих проводить их эффективную эксплуатацию.</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Единая энергетическая система России будет развиваться как путем присоединения к ней ныне изолированных энергосистем и энергообъединений, так и путем развития межсистемных и внутрисистемных электрических сетей всех классов напряжений, в том числе для экспорта электроэнергии.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br/>
        <w:t>Для повышения управляемости и обеспечения гарантированной надежности функционирования электроэнергетических систем будут широко внедряться гибкие системы передачи электроэнергии, а также совершенствоваться комплексы автоматической аварийной защиты и диспетчерского управления. Будут созданы межсистемные линии электропередачи переменного и постоянного тока для транспортировки электрической энергии и мощности из энергоизбыточных в энергодефицитные регионы в объемах, не превышающих требований надежности работы Единой энергетической системы России.</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В сфере развития электросетевого комплекса предполагается обеспечить:</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оптимизацию конфигурации и повышение пропускной способности системообразующих и распределительных электрических сетей, позволяющих осуществлять эффективное функционирование Единой энергетической системы России и систем распределенной генерации электроэнергии с высокими показателями надежности их работы;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снижение износа электрических сетей до среднего уровня развитых стран мира, в том числе за счет качественного обновления парка оборудования электрических подстанций;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снижение потерь в электрических сетях и повышение эффективности транспортировки электроэнергии, в том числе за счет широкого внедрения проводников из новых композиционых материалов, позволяющих увеличить токонесущую способность и увеличить продолжительность срока их службы, а также создания систем автоматизированного учета и регулирования в электрических сетях.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Будут обеспечены условия для привлечения частного капитала в распределительный электросетевой комплекс в объеме, достаточном для модернизации и реконструкции электрических сетей и обеспечения надежности электроснабжения потребителей на долгосрочный период, развития электросетевой инфраструктуры, в том числе с целью обеспечения межсистемных перетоков энергии и содействия экономическому росту соответствующих территорий. Будет осуществлен переход от административных к экономическим методам стимулирования эффективности сетевых компаний, а также разработаны механизмы консолидации управления распределительными сетями в регионах Российской Федерации, в том числе путем лицензирования деятельности по передаче и распределению электрической 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Также в электроэнергетике будет завершено формирование оптового и розничного рынка электрической энергии (мощности), обеспечены соответствующие нормативно-правовые и институциональные условия деятельности сбытовых и энергосервисных компаний, включая: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изменение порядка учета и возмещения затрат на технологическое присоединение к электрическим сетям;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включение инвестиционной составляющей в тариф на оказание услуг по передаче электрической энергии и в тарифы государственных компаний, реализующих </w:t>
      </w:r>
      <w:r w:rsidRPr="005E4CD6">
        <w:rPr>
          <w:rFonts w:ascii="Arial" w:eastAsia="Times New Roman" w:hAnsi="Arial" w:cs="Arial"/>
          <w:color w:val="2D2D2D"/>
          <w:spacing w:val="2"/>
          <w:sz w:val="21"/>
          <w:szCs w:val="21"/>
          <w:lang w:eastAsia="ru-RU"/>
        </w:rPr>
        <w:lastRenderedPageBreak/>
        <w:t>общесистемные проекты;</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усиление контроля за совмещением группами лиц конкурентных и естественно-монопольных видов деятельности в электроэнергетике;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условий для беспрепятственного доступа энергосбытовых организаций на оптовый рынок электрической энергии (мощности);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условий для заключения двусторонних договоров по свободным (нерегулируемым ценам) между новыми объектами генерации и потребления в неценовых зонах и изолированных территориях;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формирование условий для функционирования системы выбора потребителем поставщика электрической 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принятие нормативных правовых актов, регламентирующих порядок проведения очередных и внеочередных конкурсов на присвоение статуса гарантирующего поставщика электрической 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Будут предприняты меры по совершенствованию тарифного регулирования в сфере естественных монополий (на основе тарифов, предусматривающих возврат сделанных инвестиций, платы за резерв пропускной способности, почасовой тарификации и других). Одновременно с этим будет введена экономическая ответственность электрогенерирующих предприятий и предприятий сетевого комплекса за выполнение гарантированных стандартов надежности и качества обслуживания потребителей.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Государственная долгосрочная тарифная политика в электроэнергетике будет основываться на следующих принципах: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расширение использования рыночных механизмов ценообразования в указанной сфере, а также механизмов саморегулирования;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недопущение срыва стратегических планов государства по повышению жизненного уровня населения и росту конкурентоспособности российских предприятий из-за необоснованно высоких удельных затрат на энергоснабжение населения и предприятий;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сохранение и совершенствование форм и механизмов участия государства в регулировании источников инвестиций в электроэнергетику с целью обеспечения достаточной инвестиционной привлекательности проектов по развитию генерации и сетевого хозяйства (на принципах возвратности осуществляемых государственных вложений, в том числе на условиях частно-государственного партнерства);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применение на рынках электрической энергии (мощности) и тепловой энергии механизмов ценообразования, обеспечивающих участникам рынка потенциальный уровень доходности не ниже, чем в других секторах экономики с сопоставимым уровнем рисков;</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lastRenderedPageBreak/>
        <w:t>предсказуемость долгосрочной тарифной политики и ее скоординированность с другими составляющими государственной энергетической политики - политикой в сфере энергоэффективности и энергосбережения, а также в области формирования рационального топливно-энергетического баланса.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Предусматривается, что доля стоимости производства электроэнергии в ее среднеотпускной цене для конечных потребителей будет уже на начальных этапах реализации настоящей Стратегии доведена до 60-65 процентов - диапазона значений, являющегося рациональным в соответствии с существующим международным опытом. Учитывая, что в последние годы в России произошел резкий рост цен на электроэнергию и сохранение этой тенденции сделает экономику страны неконкурентоспособной, на первом этапе реализации настоящей Стратегии необходимо остановить указанный резкий рост цен, разработать и осуществить мероприятия по обеспечению оптимального развития и функционирования электроэнергетических систем, снижению потерь и широкому внедрению эффективных технологий. Это должно обеспечить ограниченный рост среднеотпускной цены электроэнергии для конечных потребителей на последующих этапах реализации стратегии до уровня 9-10 центов США за </w:t>
      </w:r>
      <w:r w:rsidRPr="005E4CD6">
        <w:rPr>
          <w:rFonts w:ascii="Arial" w:eastAsia="Times New Roman" w:hAnsi="Arial" w:cs="Arial"/>
          <w:noProof/>
          <w:color w:val="2D2D2D"/>
          <w:spacing w:val="2"/>
          <w:sz w:val="21"/>
          <w:szCs w:val="21"/>
          <w:lang w:eastAsia="ru-RU"/>
        </w:rPr>
        <w:drawing>
          <wp:inline distT="0" distB="0" distL="0" distR="0" wp14:anchorId="567AA183" wp14:editId="78755837">
            <wp:extent cx="501650" cy="158750"/>
            <wp:effectExtent l="0" t="0" r="0" b="0"/>
            <wp:docPr id="12" name="Рисунок 1" descr="Об утверждении Энергетической стратегии России на период до 203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Энергетической стратегии России на период до 2030 год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650" cy="158750"/>
                    </a:xfrm>
                    <a:prstGeom prst="rect">
                      <a:avLst/>
                    </a:prstGeom>
                    <a:noFill/>
                    <a:ln>
                      <a:noFill/>
                    </a:ln>
                  </pic:spPr>
                </pic:pic>
              </a:graphicData>
            </a:graphic>
          </wp:inline>
        </w:drawing>
      </w:r>
      <w:r w:rsidRPr="005E4CD6">
        <w:rPr>
          <w:rFonts w:ascii="Arial" w:eastAsia="Times New Roman" w:hAnsi="Arial" w:cs="Arial"/>
          <w:color w:val="2D2D2D"/>
          <w:spacing w:val="2"/>
          <w:sz w:val="21"/>
          <w:szCs w:val="21"/>
          <w:lang w:eastAsia="ru-RU"/>
        </w:rPr>
        <w:t> к концу третьего этапа (при расчете в постоянных ценах 2008 года).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Будет обеспечено существенное повышение энергетической эффективности отрасли, в том числе за счет снижения удельных расходов топлива на отпуск электроэнергии и тепловой энергии от тепловых электростанций, а также за счет снижения потерь (затрат на транспорт энергии) в электрических сетях.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Предусматривается поэтапное уточнение прогнозных объемов потребления электрической энергии в Российской Федерации в увязке с прогнозируемой стоимостью электроэнергии.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первом этапе реализации настоящей Стратегии спрос на электроэнергию будет определяться проявлениями начавшегося в 2008 году кризиса, а также возможностями экономики по их скорейшему преодолению.</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Вместе с тем такая тенденция не приведет к снижению темпов обновления основных фондов в электроэнергетике, замена которых жизненно необходима для успешного долгосрочного функционирования отрасли. Основным типом сооружаемых генерирующих мощностей станут парогазовые установки с высокими значениями коэффициента полезного действия. Будут проведены работы по созданию энергоустановок с суперкритическими параметрами при работе тепловых электростанций, работающих на угле. На атомных электростанциях будут устанавливаться реакторы повышенного уровня безопасности.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Важным направлением на первом этапе реализации настоящей Стратегии будет модернизация тепловых электростанций, работающих на газе по паросиловому циклу, и перевод их на парогазовый цикл работы. При этом будет осуществляться вывод из эксплуатации старых мощностей и низкоэффективного морально устаревшего оборудования.</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lastRenderedPageBreak/>
        <w:t>Также будет создана нормативно-правовая основа для привлечения частных инвестиций в развитие всех видов генерации. Будет проводиться в жизнь государственная программа строительства атомных электростанций и гидрогенерирующих электростанций, в том числе на условиях частно-государственного партнерства.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сфере развития электросетевого комплекса приоритетными направлениями будут:</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аудит состояния электросетевого комплекса и создание системы мониторинга распределительных электрических сетей с точки зрения обеспечения надежности и достаточности пропускной способности;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выполнение работ по реконструкции и техническому перевооружению электрических сетей на основе обеспечивающих их надежное и эффективное функционирование новых электросетевых технологий и современного оборудования, соответствующего по своему уровню лучшим зарубежным образцам;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оптимизация конфигурации и повышение надежности системообразующих и распределительных электрических сетей в целях повышения эффективности функционирования Единой энергетической системы России.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Единая энергетическая система России будет развиваться как путем присоединения к ней изолированных или имеющих слабые электрические связи энергообъединений, так и путем развития межсистемных и внутрисистемных электрических сетей всех классов напряжений, в том числе для экспорта электроэнергии.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Будет завершен процесс управляемой либерализации и создания внутреннего конкурентного рынка электроэнергии и мощности, обеспечивающего ценовые сигналы для поставщиков и потребителей электрической энергии и мощности с целью принятия инвестиционных решений, развиты институт гарантирующих поставщиков и система адресной социальной поддержки населения в части обеспечения электроэнергией. Будут созданы прозрачные и предсказуемые условия для долгосрочного топливообеспечения электростанций, в частности природным газом, а также для приоритетного использования угля в электроэнергетике там, где это экономически и экологически оправдано.</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втором этапе реализации настоящей Стратегии будут вводиться в эксплуатацию атомные электростанции, будут происходить масштабное обновление основных производственных фондов и развитие новой электроэнергетической инфраструктуры в Восточной Сибири и на Дальнем Востоке.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Продолжится промышленное освоение новых парогазовых установок с высокими значениями коэффициента полезного действия и установок угольной генерации на сверхкритических параметрах пара. В атомной энергетике будет расширено серийное производство и ввод в эксплуатацию водо-водяных реакторов, а также реакторов на быстрых нейтронах и создано производство для обеспечения реализации замкнутого топливного цикла. Развернется освоение возобновляемых источников энергии. За счет инвестиционно-инновационного обновления отрасли будут существенно улучшены </w:t>
      </w:r>
      <w:r w:rsidRPr="005E4CD6">
        <w:rPr>
          <w:rFonts w:ascii="Arial" w:eastAsia="Times New Roman" w:hAnsi="Arial" w:cs="Arial"/>
          <w:color w:val="2D2D2D"/>
          <w:spacing w:val="2"/>
          <w:sz w:val="21"/>
          <w:szCs w:val="21"/>
          <w:lang w:eastAsia="ru-RU"/>
        </w:rPr>
        <w:lastRenderedPageBreak/>
        <w:t>показатели ее энергетической, экономической и экологической эффективности.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третьем этапе реализации настоящей Стратегии электроэнергетика будет характеризоваться расширенным внедрением технологических инноваций в традиционные сегменты отрасли и активным развитием нетопливной энергетики на фоне замедления темпов роста спроса на электроэнергию за счет повышения общей энергоэффективности экономики страны. В тепловой генерации начнется промышленное освоение угольных энергоблоков нового технологического поколения, установок газификации угля и энерготехнологических комплексов. Коэффициент полезного действия тепловых электростанций вырастет в среднем в 1,2 раза к уровню 2005 года.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указанном этапе развитие получит строительство крупных гидроэлектростанций на востоке страны, использование малой атомной энергетики, включая плавучие атомные электростанции, для районов Крайнего Севера и Дальнего Востока, а также модульных высокотемпературных газоохлаждаемых реакторов с целью производства электроэнергии, коммунального тепла и высокотемпературного тепла для технологических целей, в том числе для производства водорода.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8. Ядерно-топливный цикл и атомная энергетика</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Стратегической целью развития ядерно-топливного цикла является обеспечение формирования всего органически связанного комплекса атомной энергетики, ее топливно-энергетической базы, экологической безопасности атомных электростанций и атомной промышленности, а также научного руководства этой сферой энергетической деятельности в соответствии с экономически обоснованными потребностями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Ядерная энергетика обладает способностью к воспроизводству собственной топливной базы. Эта ее принципиальная особенность формирует адекватный приоритет атомной энергетики в перспективе, для которой характерно ужесточение экологических требований к энергетической деятельности и стабилизация углеводородных возможностей топливно-энергетического комплекса. В этих условиях для своевременной подготовки и развития соответствующих направлений атомной энергетики наряду с продолжением строительства атомных электростанций с традиционными реакторами на тепловых нейтронах будут созданы серийные атомные электростанции с реакторами на быстрых нейтронах и соответствующие предприятия замкнутого ядерного топливного цикла.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Разведанные и потенциальные запасы природного урана, накопленные резервы регенерированного урана, существующие и развиваемые мощности ядерного топливного цикла при экономически обоснованной инвестиционной и экспортно-импортной политике в этой сфере обеспечат прогнозируемые параметры развития атомной энергетики в рассматриваемый период. Предусмотренная в настоящей Стратегии долгосрочная технологическая политика с освоением и развитием ядерных энергетических технологий нового поколения, включая реакторы на быстрых нейтронах и технологии замкнутого ядерного топливного цикла, снимет ограничения в отношении топливного сырья для </w:t>
      </w:r>
      <w:r w:rsidRPr="005E4CD6">
        <w:rPr>
          <w:rFonts w:ascii="Arial" w:eastAsia="Times New Roman" w:hAnsi="Arial" w:cs="Arial"/>
          <w:color w:val="2D2D2D"/>
          <w:spacing w:val="2"/>
          <w:sz w:val="21"/>
          <w:szCs w:val="21"/>
          <w:lang w:eastAsia="ru-RU"/>
        </w:rPr>
        <w:lastRenderedPageBreak/>
        <w:t>атомной энергетики на долгосрочную перспективу.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 учетом намеченных масштабов развития отрасли предусматривается решение следующих основных задач:</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повышение эффективности и конкурентоспособности атомной энергетики в целом, снижение уровня удельных капитальных вложений при обеспечении соответствия уровня безопасности современным нормам;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единого комплекса топливно-сырьевые ресурсы - производство энергии - обращение с отходами;</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развитие отраслевой инвестиционной политики и целевых программ, которые обеспечивают устойчивость, обновление и повышение эффективности существующего потенциала и развитие ядерно-топливной базы и мощностей по переработке и утилизации радиоактивных отходов;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внедрение высокотехнологичных и экономически выгодных проектов энергетических комплексов, соответствующих современному уровню безопасности и надежности, в том числе на базе инновационных технологий;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российского энергомашиностроительного производства и строительно-монтажного комплекса.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Важной составляющей государственной стратегии развития промышленности ядерно-топливного цикла и атомной энергетики является увеличение экспортного потенциала ядерных технологий России - развитие экспорта атомных электростанций, ядерного топлива и электроэнергии.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Направления и этапы реализации государственной энергетической политики развития отрасли предусматривают, в частности, следующее.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Увеличение выработки электроэнергии на атомных электростанциях осуществляется на основе: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реализации проектов строительства атомных электростанций (достройка энергоблоков на имеющихся площадках - на первом этапе реализации настоящей Стратегии, их строительство на новых площадках - на всех этапах, в том числе на втором и третьем этапах - совместно со сторонними инвесторами);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увеличения выработки продления срока эксплуатации действующих энергоблоков, программы интенсификации и увеличения коэффициента использования установленной мощности на всех этапах.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Формирование и развитие инжиниринга основного энергетического оборудования на основе: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разработки типовых проектов серийных энергоблоков (поэтапно-типовые проекты АЭС-2006, реактор на быстрых нейтронах);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разработки новых видов топлива для энергоблоков атомных электростанций и его вывода на западные рынки (лицензирование, подписание контрактов на поставку тепловыделяющей сборки в страны Европы и США, выполнение программ опытной эксплуатации);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разработки и сооружения проектов энергоблоков IV поколения (сооружение энергоблока БН-800 на Белоярской атомной электростанции и разработка технических проектов реакторов на быстрых нейтронах с жидкометаллическим теплоносителем).</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Развитие ядерного топливного цикла на основе: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разработки газовых центрифуг нового поколения;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модернизации разделительно-сублиматных комбинатов (с обеспечением потребностей российских атомных электростанций и сохранением лидирующих позиций на мировом рынке услуг по обогащению урана);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повышения экономической эффективности фабрикации (с обеспечением конкурентоспособности российского ядерного топлива на мировых рынках).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сырьевой базы атомной энергетики на основе: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развития урановых месторождений;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увеличения добычи на совместных месторождениях;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разведки и разработки новых месторождений в наиболее перспективных урановых регионах мира (с обеспечением суммарной добычи урана не менее 6 тыс.тонн в год к концу первого этапа и 17 тыс.тонн в год - к концу второго этапа реализации настоящей Стратегии);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создания производств для выпуска новых типов топлива;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разработки и обеспечения реализации концепции замкнутого топливного цикла.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производственной базы атомной энергетики на основе: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обеспечения требуемого объема поставок оборудования для атомных электростанций, минимизации монопольного давления (формирование альтернативных поставщиков энергетического оборудования, в том числе посредством создания альянсов с зарубежными компаниями);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повышения экономической эффективности работы предприятий энергетического машиностроения, находящихся в сфере ведения Государственной корпорации по атомной энергии "Росатом", и их выхода на смежные рынки.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br/>
        <w:t>Создание инфраструктуры управления жизненным циклом атомных электростанций на основе создания единых государственных систем обращения с отработавшим ядерным топливом и обращения с радиоактивными отходами и развития технологий вывода из эксплуатации остановленных атомных энергоблоков.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9. Теплоснабжение</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Стратегическими целями развития теплоснабжения являются: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достижение высокого уровня комфорта в жилых, общественных и производственных помещениях, включая количественный и качественный рост комплекса услуг по теплоснабжению (отопление, хладоснабжение, вентиляция, кондиционирование, горячее водоснабжение), высокий соответствующий ведущим европейским странам уровень обеспеченности населения и отраслей экономики страны этим комплексом услуг при доступной их стоимости;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кардинальное повышение технического уровня систем теплоснабжения на основе инновационных, высокоэффективных технологий и оборудования;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сокращение непроизводительных потерь тепла и расходов топлива;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управляемости, надежности, безопасности и экономичности теплоснабжения;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снижение негативного воздействия на окружающую среду.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Результаты реализации Энергетической стратегии России на период до 2020 года в сфере развития теплоснабжения следует признать неудовлетворительными. За прошедший период ситуация в указанной сфере ухудшилась несмотря на принятие целого ряда решений, которые оказались не подкреплены в достаточной степени необходимыми организационными мерами, материально-технической базой и финансовыми средствами.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За прошедший период выросли показатели износа основных фондов теплоснабжения (до 65-70 процентов), коэффициент использования установленной тепловой мощности электростанций снизился до величины, не превышающей 50 процентов, протяженность тепловых сетей сократилась на 7 процентов (более чем на 13,5 тыс.км), увеличились потери в тепловых сетях (с 14 до 20 процентов), а также значительно вырос расход электроэнергии на перекачку теплоносителя (до 40 </w:t>
      </w:r>
      <w:r w:rsidRPr="005E4CD6">
        <w:rPr>
          <w:rFonts w:ascii="Arial" w:eastAsia="Times New Roman" w:hAnsi="Arial" w:cs="Arial"/>
          <w:noProof/>
          <w:color w:val="2D2D2D"/>
          <w:spacing w:val="2"/>
          <w:sz w:val="21"/>
          <w:szCs w:val="21"/>
          <w:lang w:eastAsia="ru-RU"/>
        </w:rPr>
        <w:drawing>
          <wp:inline distT="0" distB="0" distL="0" distR="0" wp14:anchorId="3992EF83" wp14:editId="328E0370">
            <wp:extent cx="457200" cy="158750"/>
            <wp:effectExtent l="0" t="0" r="0" b="0"/>
            <wp:docPr id="11" name="Рисунок 2" descr="Об утверждении Энергетической стратегии России на период до 203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Энергетической стратегии России на период до 2030 год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58750"/>
                    </a:xfrm>
                    <a:prstGeom prst="rect">
                      <a:avLst/>
                    </a:prstGeom>
                    <a:noFill/>
                    <a:ln>
                      <a:noFill/>
                    </a:ln>
                  </pic:spPr>
                </pic:pic>
              </a:graphicData>
            </a:graphic>
          </wp:inline>
        </w:drawing>
      </w:r>
      <w:r w:rsidRPr="005E4CD6">
        <w:rPr>
          <w:rFonts w:ascii="Arial" w:eastAsia="Times New Roman" w:hAnsi="Arial" w:cs="Arial"/>
          <w:color w:val="2D2D2D"/>
          <w:spacing w:val="2"/>
          <w:sz w:val="21"/>
          <w:szCs w:val="21"/>
          <w:lang w:eastAsia="ru-RU"/>
        </w:rPr>
        <w:t>/Гкал).</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 числу основных проблем в указанной сфере относятся: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неудовлетворительное состояние систем теплоснабжения, характеризующееся высоким износом основных фондов, особенно теплосетей и котельных, недостаточной надежностью функционирования, большими энергетическими потерями и негативным воздействием на </w:t>
      </w:r>
      <w:r w:rsidRPr="005E4CD6">
        <w:rPr>
          <w:rFonts w:ascii="Arial" w:eastAsia="Times New Roman" w:hAnsi="Arial" w:cs="Arial"/>
          <w:color w:val="2D2D2D"/>
          <w:spacing w:val="2"/>
          <w:sz w:val="21"/>
          <w:szCs w:val="21"/>
          <w:lang w:eastAsia="ru-RU"/>
        </w:rPr>
        <w:lastRenderedPageBreak/>
        <w:t>окружающую среду;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потребность в крупных инвестициях для обеспечения надежного теплоснабжения при необходимости одновременного ограничения роста стоимости услуг этой сферы;</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организационная разобщенность объектов и систем теплоснабжения - отсутствие единой государственной политики в этом секторе, прежде всего научно-технической и инвестиционной;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необходимость институциональной перестройки всей системы теплоснабжения для вывода ее из кризиса и успешного функционирования в рыночных условиях.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Для достижения стратегических целей развития отрасли необходимо решить следующие основные задачи: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теплоснабжения России и ее регионов на базе теплофикации с использованием современных экономически и экологически эффективных когенерационных установок широкого диапазона мощности;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распространение сферы теплофикации на базе паротурбинных, газотурбинных, газопоршневых и дизельных установок на область средних и малых тепловых нагрузок;</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оптимальное сочетание централизованного и децентрализованного теплоснабжения с выделением соответствующих зон;</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максимальное использование возможностей геотермальной энергетики для обеспечения теплоснабжения изолированных регионов, богатых геотермальными источниками (полуостров Камчатка, остров Сахалин, Курильские острова);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систем централизованно-распределенной генерации тепловой энергии с разными типами источников, расположенных в районах теплопотребления;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модернизация и развитие систем децентрализованного теплоснабжения с применением высокоэффективных конденсационных газовых и угольных котлов, когенерационных, геотермальных, теплонасосных и других установок, а также автоматизированных индивидуальных теплогенераторов нового поколения для сжигания разных видов топлива;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совершенствование режимов эксплуатации теплоэлектроцентралей с целью максимального сокращения выработки электрической энергии по конденсационному циклу, вынос ее выработки по условиям экономичности на загородные тепловые станции;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изменение структуры систем теплоснабжения, включая рациональное сочетание системного и элементного резервирования, оснащение автоматикой и измерительными приборами в рамках автоматизированных систем диспетчерского управления нормальными и аварийными режимами их эксплуатации, переход на независимую схему подключения нагрузки отопления (вентиляции и кондиционирования) и закрытую систему горячего </w:t>
      </w:r>
      <w:r w:rsidRPr="005E4CD6">
        <w:rPr>
          <w:rFonts w:ascii="Arial" w:eastAsia="Times New Roman" w:hAnsi="Arial" w:cs="Arial"/>
          <w:color w:val="2D2D2D"/>
          <w:spacing w:val="2"/>
          <w:sz w:val="21"/>
          <w:szCs w:val="21"/>
          <w:lang w:eastAsia="ru-RU"/>
        </w:rPr>
        <w:lastRenderedPageBreak/>
        <w:t>водоснабжения;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совместная работа источников тепла на общие тепловые сети с оптимизацией режимов их функционирования;</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реконструкция теплоэлектроцентралей, котельных, тепловых сетей и тепловых энергоустановок, проведение теплогидравлической наладки режимов, повышение качества строительно-монтажных и ремонтных работ, своевременное выполнение регламентных мероприятий, оснащение потребителей стационарными и передвижными установками теплоснабжения в качестве резервных и (или) аварийных источников теплоснабжения;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разработка нормативной правовой базы, обеспечивающей эффективное взаимодействие производителей тепла, организаций, осуществляющих его транспортировку и распределение, а также потребителей в рыночных условиях функционирования отрасли.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Перспективная структура, а также объемы производства и потребления тепловой энергии на рассматриваемый период максимально ориентированы на обеспечение потребностей экономики России и учитывают уже начавшуюся деурбанизацию городских поселений, включая вынос за пределы городской застройки промышленного производства и активное развитие индивидуального малоэтажного строительства, доля которого планируется на уровне 52-55 процентов всего вводимого в эксплуатацию жилого фонда. Малоэтажная застройка, как правило, будет обеспечиваться индивидуальными теплогенераторами, а многоэтажная - централизованными (частично децентрализованными) источниками. Основной прирост производства тепла в системах централизованного теплоснабжения будут обеспечивать тепловые электростанции, доля которых в общем объеме производства тепла в системах централизованного теплоснабжения вырастет с 44 процентов до 49-50 процентов к концу третьего этапа реализации настоящей Стратегии. Кроме того, увеличится использование теплоутилизационных установок и особенно возобновляемых источников тепла на базе геотермальной, солнечной энергии и биомассы. В результате доля котельных в производстве тепла в системах централизованного теплоснабжения уменьшится с 49 процентов до 40 процентов к концу третьего этапа реализации настоящей Стратегии.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теплоснабжении также найдут свое применение атомные станции с модульными высокотемпературными газоохлаждаемыми реакторами для производства тепла промышленного потенциала, производства водорода, синтетического жидкого топлива и других.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Энергосбережение в теплоснабжении будет осуществляться по следующим основным направлениям:</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 xml:space="preserve">в производстве тепловой энергии - повышение коэффициента полезного действия котлоагрегатов, теплофикационных и других установок на основе современных технологий сжигания топлива, когенерационной выработки тепловой и электрической энергии, увеличение коэффициента использования тепловой мощности, развитие систем распределенной генерации тепла с вовлечением в теплоснабжение возобновляемых источников энергии, повышение технического уровня, автоматизации и механизации мелких </w:t>
      </w:r>
      <w:r w:rsidRPr="005E4CD6">
        <w:rPr>
          <w:rFonts w:ascii="Arial" w:eastAsia="Times New Roman" w:hAnsi="Arial" w:cs="Arial"/>
          <w:color w:val="2D2D2D"/>
          <w:spacing w:val="2"/>
          <w:sz w:val="21"/>
          <w:szCs w:val="21"/>
          <w:lang w:eastAsia="ru-RU"/>
        </w:rPr>
        <w:lastRenderedPageBreak/>
        <w:t>теплоисточников, оснащение их системами учета и регулирования отпуском тепловой энергии, а также обоснованное разделение сферы централизованного и децентрализованного теплоснабжения;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системах транспорта тепловой энергии - сокращение тепловых потерь и утечек теплоносителя в результате реконструкции тепловых сетей на основе применения теплопроводов заводской готовности, эффективных способов их прокладки, современных запорно-регулирующих устройств, автоматизированных узлов и систем управления режимами, а также организация оптимальных режимов функционирования тепловых сетей, теплоисточников и потребителей;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системах потребления тепловой энергии - учет количества и контроль качества потребляемой тепловой энергии, реконструкция и новое строительство зданий с применением теплоустойчивых конструкций, тепловой автоматики, энергоэффективного оборудования и теплопроводов, а также высокая технологичность всего процесса теплопотребления, доступность его контроля и возможность управления.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результате будет достигнуто не менее чем двукратное снижение удельных потерь тепла (с 19 процентов до 8-10 процентов к концу третьего этапа реализации настоящей Стратегии), что обеспечит экономию топлива в размере не менее 40 млн.тонн условного топлива к 2030 году.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Прогнозируемое развитие теплоснабжения потребует осуществления ряда таких мер, как формирование и совершенствование конкурентного рынка тепловой энергии, поддержка создания прогрессивного российского оборудования для системы теплоснабжения, совершенствование управления этими системами и поддержка государством и региональными органами власти формирования необходимых инвестиций в сферу теплоснабжения.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первом этапе реализации настоящей Стратегии будет обеспечено повышение стандартов предоставления услуг теплоснабжения в результате оптимизации структуры систем, соотношения централизованного и децентрализованного теплоснабжения, повышения надежности, безопасности, энергетической и экономической эффективности производства, транспортировки и потребления тепла за счет модернизации основных производственных фондов и тепловых сетей, а также обеспечения потребителей системами учета и регулирования.</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В указанный период необходимо осуществить разработку и начать последовательную реализацию комплекса программных мер по коренному усовершенствованию теплоснабжения, предусматривающих в том числе: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благоприятных условий для привлечения частных инвестиций в теплоснабжение, включая внедрение метода экономически обоснованной доходности инвестированного капитала;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оптимизацию системы тарифов (переход на обязательное применение двухставочного </w:t>
      </w:r>
      <w:r w:rsidRPr="005E4CD6">
        <w:rPr>
          <w:rFonts w:ascii="Arial" w:eastAsia="Times New Roman" w:hAnsi="Arial" w:cs="Arial"/>
          <w:color w:val="2D2D2D"/>
          <w:spacing w:val="2"/>
          <w:sz w:val="21"/>
          <w:szCs w:val="21"/>
          <w:lang w:eastAsia="ru-RU"/>
        </w:rPr>
        <w:lastRenderedPageBreak/>
        <w:t>тарифа, применение долгосрочных тарифов по двусторонним договорам) с учетом интересов как производителей, так и потребителей тепла;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формирование обязательных требований к производимому и применяемому в указанной сфере оборудованию, а также к повышению энергоэффективности зданий;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рациональное применение механизмов государственной поддержки, в том числе в рамках частно-государственного партнерства.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втором этапе реализации настоящей Стратегии будет осуществлена масштабная реконструкция и техническое переоснащение основных фондов, включая экономически оправданную замену тепловых сетей и сетевого оборудования централизованного теплоснабжения в тех регионах, где это будет экономически оправданно. Широкое развитие на новом технологическом уровне получат системы децентрализованного (индивидуального) теплоснабжения, в том числе с использованием возобновляемых источников тепла.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Будет сформирован рынок тепловой энергии и упорядочены взаимоотношения между его участниками, дальнейшее развитие получат процессы повышения энергоэффективности теплоснабжения и внедрения инновационных высокоэффективных технологических схем его организации.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третьем этапе реализации настоящей Стратегии теплоснабжение достигнет высоких уровней энергетической, экономической и экологической эффективности, будет обеспечен высокий уровень теплового комфорта населения, соответствующий уровню развития стран с аналогичными природно-климатическими условиями (Канада, страны Скандинавии). Дальнейшее развитие отрасли пойдет по пути расширенного вовлечения в производство тепла новых неуглеводородных источников энергии и использования высокоэффективных автоматизированных технологических схем организации теплоснабжения.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10. Использование возобновляемых источников энергии и местных видов топлива</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Стратегическими целями использования возобновляемых источников энергии и местных видов топлива являются: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снижение темпов роста антропогенной нагрузки на окружающую среду и противодействие климатическим изменениям при необходимости удовлетворения растущего потребления 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рациональное использование и снижение темпов роста потребления имеющихся ресурсов ископаемого топлива в условиях неизбежного истощения его запасов;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сохранение здоровья населения и качества жизни путем замедления темпов роста </w:t>
      </w:r>
      <w:r w:rsidRPr="005E4CD6">
        <w:rPr>
          <w:rFonts w:ascii="Arial" w:eastAsia="Times New Roman" w:hAnsi="Arial" w:cs="Arial"/>
          <w:color w:val="2D2D2D"/>
          <w:spacing w:val="2"/>
          <w:sz w:val="21"/>
          <w:szCs w:val="21"/>
          <w:lang w:eastAsia="ru-RU"/>
        </w:rPr>
        <w:lastRenderedPageBreak/>
        <w:t>загрязнения окружающей среды при использовании ископаемого топлива, а также снижение общегосударственных расходов на здравоохранение;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замедление темпов роста затрат на распределение и транспортировку электрической энергии и топлива и возникающих при этом потерь;</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вовлечение в топливно-энергетический баланс дополнительных топливно-энергетических 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повышение уровня энергетической безопасности и надежности энергоснабжения за счет увеличения уровня его децентрализации.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 существующим оценкам, технический ресурс возобновляемых источников энергии, преобладающую долю в котором имеет потенциал использования энергии солнца и энергии ветра, составляет не менее 4,5 млрд.тонн условного топлива в год, что более чем в 4 раза превышает объем потребления всех топливно-энергетических ресурсов России. Экономический потенциал возобновляемых источников энергии зависит от существующих экономических условий, стоимости, наличия и качества запасов ископаемых топливно-энергетических ресурсов, а также региональных особенностей. Указанный потенциал меняется во времени и должен специально оцениваться в ходе подготовки и реализации конкретных программ и проектов по развитию возобновляемых источников энергии (с учетом комплексной оценки их конкретного вклада в достижение указанных стратегических целей).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перспективе намечается обеспечить рациональный, экономически обоснованный рост использования различных видов возобновляемых источников энергии для производства электрической и тепловой энергии, а также расширить использование альтернативных видов топлива для транспорта и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соответствии с Основными направлениями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 целевым ориентиром на указанный период является увеличение относительного объема производства и потребления электрической энергии с использованием возобновляемых источников энергии (кроме гидроэлектростанций установленной мощностью более 25 МВт) примерно с 0,5 до 4,5 процента. Для достижения намеченных объемов производства электроэнергии на базе возобновляемых источников энергии необходимо уже в указанный период обеспечить ввод генерирующих объектов (малых гидроэлектростанций, ветроэлектрических станций, приливных электростанций, геотермальных электростанций, тепловых электростанций, использующих биомассу в качестве одного из топлив, прочих видов электроустановок) с суммарной установленной мощностью до 25 ГВт.</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 xml:space="preserve">Для решения этой задачи необходимо формирование комплекса мер государственной политики в указанной сфере, предусматривающих системную государственную поддержку этого направления и увязанных с намечаемыми и реально осуществляемыми темпами развития возобновляемых источников энергии. Указанные темпы должны быть также </w:t>
      </w:r>
      <w:r w:rsidRPr="005E4CD6">
        <w:rPr>
          <w:rFonts w:ascii="Arial" w:eastAsia="Times New Roman" w:hAnsi="Arial" w:cs="Arial"/>
          <w:color w:val="2D2D2D"/>
          <w:spacing w:val="2"/>
          <w:sz w:val="21"/>
          <w:szCs w:val="21"/>
          <w:lang w:eastAsia="ru-RU"/>
        </w:rPr>
        <w:lastRenderedPageBreak/>
        <w:t>увязаны с созданием необходимой инфраструктуры, повышением конкурентоспособности производства электроэнергии на базе возобновляемых источников энергии, а также их рациональным участием в формировании топливно-энергетических балансов конкретных регионов.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этих целях предусматривается разработка и регулярное уточнение схемы размещения генерирующих объектов электроэнергетики на основе использования возобновляемых источников энергии на территории Российской Федерации с учетом размещения производительных сил, перспективы социально-экономического развития регионов и ресурсной базы, включая перечень проектов сооружения новых и реконструкции существующих генерирующих объектов, функционирующих на основе использования возобновляемых источников 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третьем этапе реализации настоящей Стратегии в условиях растущего объема производства электроэнергии планируется обеспечить как минимум не снижающуюся долю возобновляемых источников энергии в этом объеме, что соответствует производству к 2030 году на базе возобновляемых источников энергии не менее 80-100 млрд.</w:t>
      </w:r>
      <w:r w:rsidRPr="005E4CD6">
        <w:rPr>
          <w:rFonts w:ascii="Arial" w:eastAsia="Times New Roman" w:hAnsi="Arial" w:cs="Arial"/>
          <w:noProof/>
          <w:color w:val="2D2D2D"/>
          <w:spacing w:val="2"/>
          <w:sz w:val="21"/>
          <w:szCs w:val="21"/>
          <w:lang w:eastAsia="ru-RU"/>
        </w:rPr>
        <w:drawing>
          <wp:inline distT="0" distB="0" distL="0" distR="0" wp14:anchorId="54FB5506" wp14:editId="41D69742">
            <wp:extent cx="457200" cy="158750"/>
            <wp:effectExtent l="0" t="0" r="0" b="0"/>
            <wp:docPr id="9" name="Рисунок 3" descr="Об утверждении Энергетической стратегии России на период до 203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Энергетической стратегии России на период до 2030 год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58750"/>
                    </a:xfrm>
                    <a:prstGeom prst="rect">
                      <a:avLst/>
                    </a:prstGeom>
                    <a:noFill/>
                    <a:ln>
                      <a:noFill/>
                    </a:ln>
                  </pic:spPr>
                </pic:pic>
              </a:graphicData>
            </a:graphic>
          </wp:inline>
        </w:drawing>
      </w:r>
      <w:r w:rsidRPr="005E4CD6">
        <w:rPr>
          <w:rFonts w:ascii="Arial" w:eastAsia="Times New Roman" w:hAnsi="Arial" w:cs="Arial"/>
          <w:color w:val="2D2D2D"/>
          <w:spacing w:val="2"/>
          <w:sz w:val="21"/>
          <w:szCs w:val="21"/>
          <w:lang w:eastAsia="ru-RU"/>
        </w:rPr>
        <w:t> в год.</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целом государственная политика в сфере использования возобновляемых источников энергии на период до 2030 года будет предусматривать:</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координацию мероприятий в области развития электроэнергетики и возобновляемой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рациональное применение мер государственной поддержки развития возобновляемой энергетики, в том числе путем оплаты электрической энергии, произведенной с использованием возобновляемых источников энергии, при ее реализации на оптовом рынке, с учетом надбавок к равновесной цене оптового рынка, а также путем возмещения платы за технологическое присоединение к сетям;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разработку комплекса мер по государственной поддержке промышленности и научных институтов для обеспечения отрасли возобновляемых источников энергии российским оборудованием, комплектующими и передовыми технологиями, в том числе с использованием трансферта технологий и локализации на российских предприятиях производства комплектующих для электростанций, работающих на возобновляемых источниках энергии;</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создание благоприятных условий для привлечения внебюджетных инвестиций с целью сооружения новых и реконструкции существующих генерирующих объектов, функционирующих на основе использования возобновляемых источников энергии, и использование механизма венчурных фондов для инвестирования в объекты возобновляемой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поддержку развития малых предприятий, функционирующих на рынке энергетического сервиса в сфере возобновляемой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обеспечение доступности информации о формировании и реализации мероприятий по развитию возобновляемой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осуществление технического и технологического контроля и надзора за соблюдением требований безопасности при использовании возобновляемых источников 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Недостаточным в настоящее время является использование местных видов топлива в региональных энергетических балансах. В 2008 году доля торфа в топливно-энергетическом балансе России составила менее 1 процента, доли прочих видов твердого топлива, включая различные отходы, и дров для отопления находились в диапазоне от 3 до 4 процентов.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Одним из наиболее важных и перспективных местных источников топлива является торф. Основными направлениями использования торфа будут удовлетворение коммунально-бытовых потребностей, а также потребностей сельского хозяйства и смежных отраслей. После увеличения объемов добычи торфа и модернизации технологической базы торфяной промышленности станет возможным его эффективное использование на тепловых электростанциях.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Наряду с традиционными направлениями использования в качестве топлива и удобрения торф в силу своих многогранных природных свойств найдет применение также в медицине, нефтяной промышленности, что потребует формирования соответствующей нормативной правовой базы, а также разработки и использования рациональных форм государственной поддержки торфяной промышленности, включая вопросы разработки соответствующих целевых программ, субсидирования процентных ставок по привлеченным организациями торфяной промышленности кредитам для развития производства и др. Это позволит обеспечить внедрение современных высокоэффективных технологий и оборудования для добычи, агломерации и сжигания торфяной продукции для нужд малой и средней энергетики, а также позволит увеличить долю использования торфа в топливно-энергетическом балансе торфодобывающих регионов с сегодняшних незначительных уровней (как правило, не превышающих 1-2 процента) до не менее чем 8-10 процентов.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Государственная политика в сфере использования местных видов топлива на период до 2030 года будет предусматривать:</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восстановление и поддержку развития производства местных источников топлива, создание тепловых электростанций и котельных, работающих на этих источниках (торф, отходы лесной и деревообрабатывающей промышленности), в том числе в труднодоступных и удаленных регионах;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условий для выработки энергии на базе использования городских бытовых отходов.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Реализация указанной политики наряду с развитием автономной энергетики и использованием местных месторождений углеводородных и угольных ресурсов позволит обеспечить уменьшение в 1,3-1,5 раза доли привозных энергоресурсов в региональных </w:t>
      </w:r>
      <w:r w:rsidRPr="005E4CD6">
        <w:rPr>
          <w:rFonts w:ascii="Arial" w:eastAsia="Times New Roman" w:hAnsi="Arial" w:cs="Arial"/>
          <w:color w:val="2D2D2D"/>
          <w:spacing w:val="2"/>
          <w:sz w:val="21"/>
          <w:szCs w:val="21"/>
          <w:lang w:eastAsia="ru-RU"/>
        </w:rPr>
        <w:lastRenderedPageBreak/>
        <w:t>топливно-энергетических балансах, составляющей в настоящее время около 45 процентов.</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11. Прогноз инвестиций в развитие топливно-энергетического комплекса</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Развитие отраслей топливно-энергетического комплекса, возобновляемых источников энергии, централизованного теплоснабжения, автономной энергетики и энергосбережения потребует крупных инвестиций в размере 2,4-2,8 трлн.долларов США в ценах 2007 года.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Основными источниками инвестиций будут собственные средства, прибыли акционерных компаний (российских (в основном) и зарубежных) с привлечением кредитов и средств от дополнительной эмиссии акций. При модернизации существующих и строительстве новых атомных электростанций и гидроэлектростанций, а также в случаях, если в силу региональных особенностей энергокомпании не являются самодостаточными и инвестиционно привлекательными, будут в соответствии с утвержденными программными документами привлекаться государственные средства.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Прогнозная оценка необходимых инвестиций приведена в приложении N 4 к настоящей Стратегии.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4CD6">
        <w:rPr>
          <w:rFonts w:ascii="Arial" w:eastAsia="Times New Roman" w:hAnsi="Arial" w:cs="Arial"/>
          <w:color w:val="4C4C4C"/>
          <w:spacing w:val="2"/>
          <w:sz w:val="38"/>
          <w:szCs w:val="38"/>
          <w:lang w:eastAsia="ru-RU"/>
        </w:rPr>
        <w:t>VII. Региональные и межотраслевые аспекты развития топливно-энергетического комплекса</w:t>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1. Региональные особенности развития топливно-энергетического комплекса</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Развитие топливно-энергетического комплекса регионов России основывается на ключевых положениях Концепции совершенствования региональной политики в Российской Федерации и схемах развития отдельных отраслей топливно-энергетического комплекса и будет осуществляться с учетом имеющегося энергетического потенциала территорий.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5E4CD6">
        <w:rPr>
          <w:rFonts w:ascii="Arial" w:eastAsia="Times New Roman" w:hAnsi="Arial" w:cs="Arial"/>
          <w:color w:val="242424"/>
          <w:spacing w:val="2"/>
          <w:sz w:val="26"/>
          <w:szCs w:val="26"/>
          <w:lang w:eastAsia="ru-RU"/>
        </w:rPr>
        <w:t>Центральный федеральный округ</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Объемы потребления первичных источников энергии в Центральном федеральном округе будут возрастать и к 2030 году превысят уровень 2008 года в 1,4-1,6 раза. Одновременно с этим произойдет наращивание собственного производства первичных источников энергии, которое к 2030 году должно в 1,9 раза превзойти уровень 2008 года. В результате самообеспеченность региона составит 17-19 процентов.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На первом этапе в электроэнергетике региона будет осуществляться замена паросиловых </w:t>
      </w:r>
      <w:r w:rsidRPr="005E4CD6">
        <w:rPr>
          <w:rFonts w:ascii="Arial" w:eastAsia="Times New Roman" w:hAnsi="Arial" w:cs="Arial"/>
          <w:color w:val="2D2D2D"/>
          <w:spacing w:val="2"/>
          <w:sz w:val="21"/>
          <w:szCs w:val="21"/>
          <w:lang w:eastAsia="ru-RU"/>
        </w:rPr>
        <w:lastRenderedPageBreak/>
        <w:t>энергоблоков на парогазовые, дозагрузка и модернизация имеющихся угольных энергоблоков, вывод из работы старого оборудования теплоэлектроцентралей, а также строительство новых теплоэлектроцентралей с парогазовыми установками. Дальнейшее развитие получит атомная энергетика. Будут модернизированы мощности нефтеперерабатывающих заводов, завершится строительство газопровода "Северные районы Тюменской области - Торжок". Большое внимание будет уделено реализации структурного потенциала энергосбережения за счет ускоренного развития сферы услуг и неэнергоемких отраслей промышленности.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втором и третьем этапах реализации настоящей Стратегии прирост производства энергоресурсов будет происходить за счет строительства атомных электростанций и синхронизированных с ними в работе гидроаккумулирующих электростанций, а также тепловых электростанций с парогазовыми установками. Несколько возрастет использование угля из Сибирского федерального округа, а также местных энергоресурсов (уголь, биомасса, торф). В сфере энергосбережения будут преобладать малозатратные меры реализации его технологического потенциала.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 окончанию третьего этапа будет завершено создание магистральных электропередач высокого напряжения для транспортировки электроэнергии из Восточных районов страны в ее европейскую часть, в том числе в Центральный федеральный округ. Ключевые позиции в области энергосбережения займут высокозатратные мероприятия по реализации его технологического потенциала.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2030 году Центральный федеральный округ останется энергодефицитным регионом с развитой электроэнергетикой, нефтепереработкой и нефтехимией. Значительно возрастет роль атомной генерации, а также использования местных источников энергии. Практически полностью будет реализован потенциал энергосбережения. Усилятся электроэнергетические связи этого округа с объединенной энергосистемой Сибири.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5E4CD6">
        <w:rPr>
          <w:rFonts w:ascii="Arial" w:eastAsia="Times New Roman" w:hAnsi="Arial" w:cs="Arial"/>
          <w:color w:val="242424"/>
          <w:spacing w:val="2"/>
          <w:sz w:val="26"/>
          <w:szCs w:val="26"/>
          <w:lang w:eastAsia="ru-RU"/>
        </w:rPr>
        <w:t>Северо-Западный федеральный округ</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Объемы потребления первичных источников энергии в Северо-Западном федеральном округе к 2030 году в 1,4-1,6 раза превысят уровень 2008 года. Более существенными темпами будет расти производство первичных источников энергии в регионе (к 2030 году уровень 2008 года будет превышен в 2,5-2,7 раза), в результате чего Северо-Западный федеральный округ перестанет быть энергодефицитным к концу второго этапа реализации настоящей Стратегии, а к 2030 году обеспеченность региона первичными источниками энергии достигнет 114-128 процентов.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Прирост производства первичных источников энергии на первом этапе будет осуществляться за счет увеличения добычи нефти и газа в Тимано-Печорской провинции и энергетического угля в Республике Коми. Продолжится проведение активных работ по вовлечению в эксплуатацию месторождений нефти и газа на континентальном шельфе арктических морей. Дальнейшее развитие получит атомная энергетика. Завершится реализация второй очереди Балтийской трубопроводной системы, газопроводов "Северный </w:t>
      </w:r>
      <w:r w:rsidRPr="005E4CD6">
        <w:rPr>
          <w:rFonts w:ascii="Arial" w:eastAsia="Times New Roman" w:hAnsi="Arial" w:cs="Arial"/>
          <w:color w:val="2D2D2D"/>
          <w:spacing w:val="2"/>
          <w:sz w:val="21"/>
          <w:szCs w:val="21"/>
          <w:lang w:eastAsia="ru-RU"/>
        </w:rPr>
        <w:lastRenderedPageBreak/>
        <w:t>поток" и "Северные районы Тюменской области - Торжок", строительство морских нефтеналивных терминалов в гг.Приморске и Усть-Луге. Будут предприняты меры для обеспечения энергетической независимости Калининградской области. Снижение темпов роста потребления первичных источников энергии произойдет преимущественно за счет реализации потенциала структурного энергосбережения.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втором этапе реализации настоящей Стратегии ведущую роль в приросте производства энергоресурсов займет развитие добычи на Штокмановском газоконденсатном месторождении. На побережье Баренцева моря будет построен завод по сжижению природного газа, при этом часть газа, добываемого на континентальном шельфе арктических морей, будет подаваться в Единую систему газоснабжения. Получит дальнейшее развитие атомная энергетика, а также гидроэнергетика.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Ленинградской области завершится строительство нового нефтеперерабатывающего завода. Регион превратится из энергодефицитного в энергоизбыточный, получит развитие вывоз энергоресурсов в другие районы страны и на экспорт. В сфере энергосбережения будут преобладать меры, направленные на реализацию технологического потенциала, более полно будут использоваться отходы лесопромышленного комплекса.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третьем этапе реализации настоящей Стратегии продолжится активная разработка нефтегазовых месторождений континентального шельфа арктических морей и развитие энерготранспортной инфраструктуры в регионе. В сфере энергосбережения будут широко применяться современные инновационные технологии.</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В 2030 году Северо-Западный федеральный округ будет представлять собой крупный энергоизбыточный регион, осуществляющий поставки, включая транзитные, нефти, природного газа, в том числе сжиженного, и электроэнергии в энергодефицитные регионы страны и на экспорт. Значительно возрастет энергоэффективность экономики региона за счет реализации структурного и технологического потенциала энергосбережения, повысится степень обеспечения энергетической безопасности вследствие диверсификации структуры топливно-энергетического баланса и развития нетопливной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5E4CD6">
        <w:rPr>
          <w:rFonts w:ascii="Arial" w:eastAsia="Times New Roman" w:hAnsi="Arial" w:cs="Arial"/>
          <w:color w:val="242424"/>
          <w:spacing w:val="2"/>
          <w:sz w:val="26"/>
          <w:szCs w:val="26"/>
          <w:lang w:eastAsia="ru-RU"/>
        </w:rPr>
        <w:t>Южный федеральный округ</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В Южном федеральном округе будет наблюдаться рост потребления первичных источников энергии (в 1,5-1,6 раза к уровню 2008 года) и существенное наращивание их производства (в 2,1-2,2 раза к уровню 2008 года), в результате чего будет практически достигнута самообеспеченность региона собственными первичными энергоресурсами (на уровне 89-97 процентов).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На первом этапе реализации настоящей Стратегии в электроэнергетике будет происходить дозагрузка и модернизация имеющихся угольных энергоблоков, замена паросиловых энергоблоков на парогазовые и вывод из работы старого оборудования теплоэлектроцентралей. Получит дальнейшее развитие использование местных энергоресурсов (биомасса, геотермальные воды). Завершится строительство </w:t>
      </w:r>
      <w:r w:rsidRPr="005E4CD6">
        <w:rPr>
          <w:rFonts w:ascii="Arial" w:eastAsia="Times New Roman" w:hAnsi="Arial" w:cs="Arial"/>
          <w:color w:val="2D2D2D"/>
          <w:spacing w:val="2"/>
          <w:sz w:val="21"/>
          <w:szCs w:val="21"/>
          <w:lang w:eastAsia="ru-RU"/>
        </w:rPr>
        <w:lastRenderedPageBreak/>
        <w:t>нефтепродуктопровода "Юг" и модернизация нефтеналивного терминала г.Новороссийска. Значительное внимание будет уделено реализации потенциала энергосбережения, преимущественно структурного (за счет более быстрого развития сферы услуг и неэнергоемких отраслей промышленности).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втором этапе реализации настоящей Стратегии получит дальнейшее развитие атомная и гидроэнергетика. Завершится модернизация нефтеперерабатывающего завода в г.Туапсе. Через территорию Южного федерального округа возрастет экспорт российских энергоресурсов в страны Европы - будет завершено строительство газопровода "Южный поток", увеличена пропускная способность транспортной системы Каспийского трубопроводного консорциума, сооружен новый морской порт на побережье Черного моря с высокопроизводительным угольным терминалом.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третьем этапе реализации настоящей Стратегии увеличится производство электроэнергии на атомных и гидроэлектростанциях, а также на основе местных энергоисточников. Для покрытия энергодефицита будут использоваться преимущественно энергетический уголь из Сибирского федерального округа и природный газ из Уральского федерального округа. Дальнейшее развитие получит энерготранспортная инфраструктура, а также технологическое энергосбережение.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 2030 году значительно возрастет энергоэффективность экономики Южного федерального округа. В структуре топливно-энергетического баланса региона увеличится доля атомной и гидроэнергетики, а также местных энергоресурсов. На основе развития энерготранспортной инфраструктуры будет не только обеспечена энергетическая безопасность региона, но и повышена его роль как транзитно-экспортного узла, обеспечивающего поставки российских энергоресурсов на мировой рынок.</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5E4CD6">
        <w:rPr>
          <w:rFonts w:ascii="Arial" w:eastAsia="Times New Roman" w:hAnsi="Arial" w:cs="Arial"/>
          <w:color w:val="242424"/>
          <w:spacing w:val="2"/>
          <w:sz w:val="26"/>
          <w:szCs w:val="26"/>
          <w:lang w:eastAsia="ru-RU"/>
        </w:rPr>
        <w:t>Приволжский федеральный округ</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В Приволжском федеральном округе будет наблюдаться рост потребления первичных источников энергии (в 1,2-1,4 раза в 2030 году к уровню 2008 года), сопровождаемый сокращением их собственного производства (70-80 процентов в 2030 году к уровню 2008 года). В результате будет нарастать энергодефицитность региона (обеспеченность Приволжского федерального округа собственными первичными энергоресурсами в 2030 году составит 50-53 процента) и его зависимость от поставок энергоносителей извне.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первом этапе реализации настоящей Стратегии будет происходить постепенное снижение объемов добычи нефти и газа в традиционных промысловых районах. В электроэнергетике продолжится замена паросиловых блоков тепловых электростанций на парогазовые, дозагрузка и модернизация существующих угольных энергоблоков, введение в эксплуатацию новых парогазовых теплоэлектроцентралей. Увеличится производство электроэнергии на действующих гидроэлектростанциях за счет повышения уровней водохранилищ на Чебоксарском и Нижнекамском гидроузлах до проектных отметок. К окончанию этого этапа будет введена в эксплуатацию первая очередь нового нефтеперерабатывающего завода в Республике Татарстан.</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br/>
        <w:t>На втором этапе реализации настоящей Стратегии возрастет добыча нефти и газа в Прикаспии на фоне дальнейшего снижения объемов нефтедобычи в Волжско-Уральской нефтегазоносной провинции. Наряду с переработкой собственного углеводородного сырья возрастет переработка такого сырья, добытого на нефтегазовых месторождениях Западной Сибири. Будут внедрены новые технологии электрогенерации на основе сжигания твердого топлива широкого фракционного состава. Завершится формирование трубопроводных систем от вводимых в действие месторождений до существующих нефте-, газоперерабатывающих и нефтехимических предприятий. Для покрытия энергодефицита округа будут использоваться нефть и газ из Уральского федерального округа, а также уголь из Кузнецкого угольного бассейна. Получат значительное развитие меры по реализации технологического энергосбережения.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третьем этапе реализации настоящей Стратегии произойдет стабилизация объемов добычи нефти и газа в Прикаспии, будет наблюдаться дальнейшее снижение нефтедобычи в Волго-Уральской нефтегазоносной провинции. Для покрытия возрастающего энергодефицита будут также использоваться построенные к окончанию этого этапа мощности магистральных электропередач высокого напряжения для транспортировки электроэнергии из восточных районов страны. Получат широкое применение высокозатратные мероприятия в области технологического энергосбережения.</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К 2030 году в структуре топливно-энергетического баланса произойдет снижение доли нефти и газа при росте доли угля и энергии гидроэлектростанций. Энергетическая безопасность региона будет базироваться на максимальном использовании структурного и технологического потенциала энергосбережения и межрегиональных энергетических связях, осуществляемых посредством расширенной и модернизированной энерготранспортной инфраструктуры.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5E4CD6">
        <w:rPr>
          <w:rFonts w:ascii="Arial" w:eastAsia="Times New Roman" w:hAnsi="Arial" w:cs="Arial"/>
          <w:color w:val="242424"/>
          <w:spacing w:val="2"/>
          <w:sz w:val="26"/>
          <w:szCs w:val="26"/>
          <w:lang w:eastAsia="ru-RU"/>
        </w:rPr>
        <w:t>Уральский федеральный округ</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В Уральском федеральном округе будет наблюдаться стабилизация объемов производства первичных источников энергии, сопровождаемая ростом их потребления, особенно на третьем этапе реализации настоящей Стратегии (в 1,3-1,6 раза в 2030 году к уровню 2008 года). Несмотря на некоторое снижение показателя самообеспеченности, Уральский федеральный округ останется основным энергопроизводящим регионом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На первом этапе реализации настоящей Стратегии ожидается стабилизация и постепенное снижение объемов нефтедобычи в регионе. Активное развитие получат меры по утилизации попутного нефтяного газа. Снижение объемов газодобычи будет компенсироваться освоением новых месторождений в Надым-Пуртазовском районе и на полуострове Ямал. Будут активизироваться работы по формированию трубопроводных систем от существующих и вновь вводимых месторождений до нефте-, газоперерабатывающих и нефтехимических предприятий. Начнется строительство новых газоперерабатывающих и газохимических комплексов. Получит развитие энергетика Приполярного Урала, в том числе в рамках проекта "Урал Промышленный - Урал Полярный". Будут проводиться работы по </w:t>
      </w:r>
      <w:r w:rsidRPr="005E4CD6">
        <w:rPr>
          <w:rFonts w:ascii="Arial" w:eastAsia="Times New Roman" w:hAnsi="Arial" w:cs="Arial"/>
          <w:color w:val="2D2D2D"/>
          <w:spacing w:val="2"/>
          <w:sz w:val="21"/>
          <w:szCs w:val="21"/>
          <w:lang w:eastAsia="ru-RU"/>
        </w:rPr>
        <w:lastRenderedPageBreak/>
        <w:t>реконструкции магистральных нефте- и газопроводов, завершится строительство газопровода "Северные районы Тюменской области - Торжок". Продолжится газификация юга Западной Сибири.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втором этапе реализации настоящей Стратегии продолжится стабилизация объемов добычи нефти и природного газа в регионе. Активное освоение газовых месторождений полуострова Ямал и Обской и Тазовской губ будет компенсировать снижение объемов газодобычи в традиционных промысловых районах. Для утилизации и транспортировки "жирного" газа и газового конденсата в регионе будет создана мощная газоперерабатывающая промышленность и нефтехимия. Низконапорный газ отработанных крупных месторождений будет использоваться для нужд газохимии и электроэнергетики региона. Начнется освоение месторождений урановых руд в Курганской области (закрытое акционерное общество "Далур").</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третьем этапе реализации настоящей Стратегии при дальнейшем снижении объемов газодобычи в Надым-Пуртазовском районе Тюменской области значительно возрастет газодобыча на полуострове Ямал и в Обской и Тазовской губах. Расширится использование газа как ценного химического продукта, начнется производство синтетического жидкого топлива из газа.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К 2030 году Уральский федеральный округ сохранит за собой позиции главного нефте- и газодобывающего района России, поставляющего энергоносители в энергодефицитные районы страны и на экспорт. Возрастет энергоэффективность экономики региона, будет реализован потенциал энергосбережения, использованы экологически безопасные и эффективные способы добычи и производства энергоресурсов в сложных природно-климатических условиях.</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5E4CD6">
        <w:rPr>
          <w:rFonts w:ascii="Arial" w:eastAsia="Times New Roman" w:hAnsi="Arial" w:cs="Arial"/>
          <w:color w:val="242424"/>
          <w:spacing w:val="2"/>
          <w:sz w:val="26"/>
          <w:szCs w:val="26"/>
          <w:lang w:eastAsia="ru-RU"/>
        </w:rPr>
        <w:t>Сибирский федеральный округ</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В Сибирском федеральном округе к 2030 году производство первичных источников энергии увеличится в 3,2-3,9 раза к уровню 2008 года, а объемы их потребления - в 1,4-1,6 раза. В результате обеспеченность региона собственными первичными энергоресурсами повысится с 42 процентов в 2008 году до 99-100 процентов к 2030 году. Также возрастут их поставки в другие регионы страны и на экспорт.</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На первом этапе реализации настоящей Стратегии в Сибирском федеральном округе увеличится добыча нефти и природного газа. Продолжится освоение нефтяных месторождений в Красноярском крае (Ванкор-Сузунский центр) и Иркутской области. Будут предприняты активные меры по утилизации и комплексному использованию попутного нефтяного газа, развернуты подготовительные работы по освоению крупных газовых месторождений региона. Начнется создание новых нефте- и газохимических центров. Возрастут объемы добычи угля в Канско-Ачинском угольном бассейне при их стабилизации в Кузнецком угольном бассейне. Продолжится строительство нефтепровода Восточная Сибирь - Тихий океан. Будут развернуты работы по газификации промышленности и жилищно-коммунального хозяйства региона. В изолированных промышленных узлах получит развитие производство тепла и электроэнергии на базе возобновляемых </w:t>
      </w:r>
      <w:r w:rsidRPr="005E4CD6">
        <w:rPr>
          <w:rFonts w:ascii="Arial" w:eastAsia="Times New Roman" w:hAnsi="Arial" w:cs="Arial"/>
          <w:color w:val="2D2D2D"/>
          <w:spacing w:val="2"/>
          <w:sz w:val="21"/>
          <w:szCs w:val="21"/>
          <w:lang w:eastAsia="ru-RU"/>
        </w:rPr>
        <w:lastRenderedPageBreak/>
        <w:t>источников 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втором этапе реализации настоящей Стратегии продолжится рост объемов добычи нефти и особенно природного газа. Начнется эксплуатация Красноярского (на базе Собинско-Пайгинского и Юрубчено-Тохомского месторождений) и Иркутского (на базе Ковыктинского месторождения) газовых центров. Будут созданы крупные нефте- и газохимические комплексы. Значительное внимание будет уделено максимально рациональному использованию многокомпонентных углеводородов, в том числе утилизации гелия. Получит дальнейшее развитие гидроэнергетика и угольная электрогенерация с использованием современных инновационных технологий сжигания твердого топлива. Крупные гидроэлектростанции станут основой для формирования территориальных энергопромышленных комплексов в регионе. Будет активно осваиваться сырьевая база атомной энергетики на базе урановых месторождений в Забайкальском крае и Республике Бурятия. Получит дальнейшее развитие угольная промышленность, в том числе за счет освоения новых месторождений в Республике Тыва и Забайкальском крае. Будут увеличены поставки угля в европейские регионы России, для чего потребуется расширение пропускной способности железных дорог в западном направлении. Расширится использование возобновляемых источников энергии в удаленных и изолированных районах Сибирского федерального округа. Продолжится газификация региона.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третьем этапе реализации настоящей Стратегии продолжится наращивание добычи нефти и природного газа. Завершится газификация региона. Будет завершено строительство межрегиональных магистральных электрических связей для транспортировки электроэнергии в европейскую часть России.</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К 2030 году регион будет устойчиво занимать первое место в России по добыче коксующегося и энергетического угля, второе место по добыче нефти и газа, одно из ведущих мест в российской нефтехимии, а также будет играть лидирующую роль в поставках гелия на российский и мировой рынки.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Благодаря развитию энерготранспортной инфраструктуры и использованию возобновляемых источников энергии будет не только обеспечена энергетическая безопасность всех районов Сибирского федерального округа, но и организованы стабильные поставки энергоресурсов в энергодефицитные районы страны и на экспорт.</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5E4CD6">
        <w:rPr>
          <w:rFonts w:ascii="Arial" w:eastAsia="Times New Roman" w:hAnsi="Arial" w:cs="Arial"/>
          <w:color w:val="242424"/>
          <w:spacing w:val="2"/>
          <w:sz w:val="26"/>
          <w:szCs w:val="26"/>
          <w:lang w:eastAsia="ru-RU"/>
        </w:rPr>
        <w:t>Дальневосточный федеральный округ</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Благодаря существенному росту производства первичных источников энергии Дальневосточный федеральный округ уже на первом этапе реализации настоящей Стратегии превратится из энергодефицитного в энергоизбыточный экспортно ориентированный регион. К 2030 году объемы производства первичных источников энергии возрастут в 4,4 раза по сравнению с уровнем 2008 года.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На основе собственной энергетической и сырьевой базы с использованием современных, в том числе энергосберегающих технологий, в регионе будет создана мощная промышленная </w:t>
      </w:r>
      <w:r w:rsidRPr="005E4CD6">
        <w:rPr>
          <w:rFonts w:ascii="Arial" w:eastAsia="Times New Roman" w:hAnsi="Arial" w:cs="Arial"/>
          <w:color w:val="2D2D2D"/>
          <w:spacing w:val="2"/>
          <w:sz w:val="21"/>
          <w:szCs w:val="21"/>
          <w:lang w:eastAsia="ru-RU"/>
        </w:rPr>
        <w:lastRenderedPageBreak/>
        <w:t>база. При этом потребление первичных источников энергии возрастет в 1,7-1,9 раза по сравнению с уровнем 2008 года.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первом этапе реализации настоящей Стратегии продолжится освоение нефтегазовых месторождений Сахалинской области (на континентальном шельфе Охотского моря) и залежей нефти на территории Республики Саха (Якутия) (Талаканское, Верхнечонское месторождение). Особое внимание будет обращено на комплексную утилизацию попутного нефтяного газа и других компонентов добываемого углеводородного сырья, в частности гелия. Продолжится реализация проектов "Сахалин-1" и "Сахалин-2", а также экспорт российского сжиженного природного газа в страны Азиатско-Тихоокеанского региона. Увеличится добыча угля в регионе (преимущественно за счет месторождений Южной Якутии). Завершится строительство 1-й очереди нефтепровода Восточная Сибирь - Тихий океан. Будут модернизированы нефтеналивные терминалы в г.Находке, Де-Кастри, а также угольные - в портах Ванино и Восточный. В удаленных и изолированных районах получит развитие производство тепла и электроэнергии на основе возобновляемых источников энергии. На юге Приморского края (остров Русский и остров Попова) возможно сооружение ветропарка. Продолжится газификация юга Дальневосточного федерального округа на основе сахалинского газа. Начнется экспорт электроэнергии в Китай.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втором этапе реализации настоящей Стратегии возрастут объемы нефте- и газодобычи в регионе. Продолжится освоение континентального шельфа Охотского моря (проекты "Сахалин-3", "Сахалин-4", "Сахалин-5" и "Сахалин-6"). Будут созданы новые нефте- и газохимические центры, построен нефтеперерабатывающий завод в Приморском крае. Продолжатся работы по газификации коммунально-бытового хозяйства, строительству экспортных газопроводов в страны Азиатско-Тихоокеанского региона. Расширится производство и экспорт сжиженного природного газа. Будет завершено строительство нефтепровода Восточная Сибирь - Тихий океан. Начнется эксплуатация Эльгинского угольного месторождения в Якутии. Рост добычи угля потребует расширения пропускной способности железных дорог в западном и восточном (для экспорта в страны Азиатско-Тихоокеанского региона) направлениях. Ускоренными темпами будет развиваться электроэнергетика, преимущественно за счет угольных тепловых электростанций и гидроэлектростанций (в составе энергопромышленных комплексов), а также теплоэлектроцентралей, работающих на газе, в городах. Предусматривается присоединение Центрального энергорайона Якутии к объединенной энергосистеме востока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На третьем этапе реализации настоящей Стратегии начнется освоение Якутского газового центра (Чаяндинское, Среднеботуобинское, Таас-Юряхское и другие месторождения), месторождений углеводородов в Магаданской шельфовой зоне и Западно-Камчатском секторе Тихого океана. Возрастет добыча угля на существующих месторождениях, будут введены в эксплуатацию новые месторождения в Магаданской области. Будут продолжены работы по присоединению изолированных энергорайонов Республики Саха (Якутия) и Магаданской области к единой государственной электрической сети. Завершится создание восточной газотранспортной сети, что в случае необходимости позволит подключить ее к Единой системе газоснабжения. Будет осуществлено масштабное развитие электрических сетей, направленное в том числе на решение стратегической задачи объединения </w:t>
      </w:r>
      <w:r w:rsidRPr="005E4CD6">
        <w:rPr>
          <w:rFonts w:ascii="Arial" w:eastAsia="Times New Roman" w:hAnsi="Arial" w:cs="Arial"/>
          <w:color w:val="2D2D2D"/>
          <w:spacing w:val="2"/>
          <w:sz w:val="21"/>
          <w:szCs w:val="21"/>
          <w:lang w:eastAsia="ru-RU"/>
        </w:rPr>
        <w:lastRenderedPageBreak/>
        <w:t>энергосистем Сибири и Дальнего Востока.</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В 2030 году Дальневосточный федеральный округ будет представлять собой крупный энергоизбыточный регион, полностью обеспечивающий собственные потребности в первичных источниках энергии, в том числе в удаленных районах за счет использования местных ресурсов и возобновляемых источников энергии, и осуществляющий их экспорт в страны Азиатско-Тихоокеанского региона. Будет полностью обеспечена энергетическая безопасность Дальневосточного федерального округа, значительно повышена энергоэффективность его экономики.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2. Взаимовлияние развития топливно-энергетического комплекса и отраслей промышленности</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Роль топливно-энергетического комплекса в системе его взаимодействия с промышленностью определяется двумя видами экономических связей - топливно-энергетического комплекса как поставщика топлива, энергии, сырья и топливно-энергетического комплекса как потребителя конечной продукции смежных отраслей промышленности.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настоящее время промышленность потребляет более 50 процентов произведенных в стране топливно-энергетических ресурсов и около 60 процентов электроэнергии.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Основной объем потребления промышленной продукции в топливно-энергетическом комплексе приходится на продукцию металлургии (в первую очередь трубы), машиностроения (энергетическое оборудование, электротехника, оборудование для нефтегазовой и угольной промышленности) и химической промышленности (реагенты, катализаторы).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этой системе обратные связи имеют особое значение, так как в связи с высокой энергоемкостью отдельных отраслей промышленности ограничение поставок или необоснованно высокие цены на топливно-энергетические ресурсы могут привести к ограничениям поставок продукции самому топливно-энергетическому комплексу и повлиять на экономический рост в стране в целом.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Российский топливно-энергетический комплекс надежно удовлетворяет потребности промышленности в энергии и сырье, однако существуют риски негативного влияния резкого повышения цен на топливно-энергетические ресурсы на развитие промышленности. Прежде всего это касается отраслей, использующих топливо как сырье (агрохимия, черная металлургия).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Российская промышленность обеспечивает потребности топливно-энергетического комплекса в оборудовании и материалах на 80-85 процентов. Особо сложное положение наблюдается в сфере поставок оборудования и катализаторов для нефтепереработки. Здесь доля российской продукции составляет всего 30-40 процентов. Тяжелая ситуация </w:t>
      </w:r>
      <w:r w:rsidRPr="005E4CD6">
        <w:rPr>
          <w:rFonts w:ascii="Arial" w:eastAsia="Times New Roman" w:hAnsi="Arial" w:cs="Arial"/>
          <w:color w:val="2D2D2D"/>
          <w:spacing w:val="2"/>
          <w:sz w:val="21"/>
          <w:szCs w:val="21"/>
          <w:lang w:eastAsia="ru-RU"/>
        </w:rPr>
        <w:lastRenderedPageBreak/>
        <w:t>сложилась и с поставками российской машиностроительной продукции в угольную отрасль.</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Основная проблема в энергетическом машиностроении - дефицит мощностей по производству необходимой номенклатуры парогазовых и газотурбинных установок, а также высокоэффективных, экологически безопасных энергоблоков, работающих на угле, и существенное отставание российского турбостроения в научно-техническом отношении. В целом обеспеченность электроэнергетики парогазовыми и газотурбинными установками российского производства не превышает 50 процентов.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Хотя некоторые виды российского оборудования по техническим характеристикам, качеству и надежности не уступают зарубежным аналогам, значительная часть оборудования, выпускаемая российскими предприятиями, проигрывает по качественным и (или) ценовым параметрам. Вместе с тем ремонт российского оборудования в сложных природно-климатических условиях страны обходится значительно дешевле и сопряжен с меньшими техническими сложностями, чем ремонт импортных аналогов.</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Развитие энергомашиностроения будет базироваться на соответствующей отраслевой стратегии, при этом основной акцент будет сделан:</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освоении производства тихоходных паровых турбин мощностью 1200 МВт для атомных станций с реакторами ВВЭР-1200 гидравлических турбин мощностью 1000 МВт, паровых турбин и паровых котлов для угольных энергоблоков, работающих на суперсверхкритических параметрах пара, паровых котлов, использующих передовые технологии сжигания угля с циркулирующим кипящим слоем под давлением, газовых турбин мощностью 65 МВт, высокоэкономичных газотурбинных установок для газотранспортной системы, оборудования для добычи и транспортировки углеводородов при освоении континентального шельфа арктических морей и оборудования для возобновляемых источников энергии;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на организации на российских заводах лицензионного производства продукции, которая не может быть создана российскими учеными и инженерами в ближайшие 3-4 года (энергомашиностроение серийного производства газовых турбин класса 270-290 МВт и ряда других).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Прогнозируемое развитие топливно-энергетического комплекса открывает широкие перспективы для развития производства в России современного оборудования и материалов, создает предпосылки для ускоренного инновационного развития таких отраслей российской промышленности как машиностроение, оборонно-промышленный комплекс, металлургия, химическая промышленность и строительный комплекс. Это направление является важным для реализации экономической политики государства по опережающему развитию производства продукции более высоких стадий обработки.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Важнейшим фактором роста спроса на российское оборудование и материалы для топливно-энергетического комплекса становится повышение их конкурентоспособности, которое будет обеспечиваться за счет:</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совершенствования конструкций и технологий изготовления энергетического, нефтегазового и горнотранспортного оборудования, методов и систем повышения их качества, надежности и снижения стоимости;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создания и освоения производства оборудования и материалов с использованием нанотехнологий, обеспечивающих инновационное ресурсо- и энергосберегающее развитие отраслей топливно-энергетического комплекса;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развития химических технологий и процессов, систем для интегрирования химических производств с энергетическими, а также для оснащения энергетических производств современными реагентами и катализаторами;</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расширения сортамента и улучшения свойств конструкционных материалов и стандартных изделий, в том числе труб для трубопроводов повышенного давления, паропроводов и котельных, работающих на параметрах пара с давлением свыше 300 атмосфер и температурой 570 градусов Цельсия;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разработки и освоения эффективных автоматизированных систем, поддерживающих весь цикл создания совершенных технических средств, систем, алгоритмов и программ управления.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При этом система закупок оборудования и материалов компаниями топливно-энергетического комплекса будет строиться на конкурсной основе и в большинстве случаев проводиться методом открытого конкурса.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Взаимодействие предприятий топливно-энергетического комплекса и промышленности предполагает использование различных форм сотрудничества, включая: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совместные программы научно-технического сотрудничества и импортозамещения;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проведение промысловых испытаний нового оборудования и материалов;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внедрение фирменных импортных технологий с постепенным снижением доли импортных комплектующих;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внедрение систем отраслевых стандартов, ужесточающих требования к работоспособности и безопасности применяемого оборудования.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Достижение поставленных целей, использование и развитие потенциала российской промышленности для энергетического сектора требуют как государственной поддержки, так и совершенствования экономических механизмов долгосрочных взаимоотношений топливно-энергетического комплекса со смежными отраслями, обеспечивающих отбор наиболее перспективных для топливно-энергетического комплекса промышленных разработок.</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Учитывая экспансию зарубежных производителей на российском рынке оборудования для </w:t>
      </w:r>
      <w:r w:rsidRPr="005E4CD6">
        <w:rPr>
          <w:rFonts w:ascii="Arial" w:eastAsia="Times New Roman" w:hAnsi="Arial" w:cs="Arial"/>
          <w:color w:val="2D2D2D"/>
          <w:spacing w:val="2"/>
          <w:sz w:val="21"/>
          <w:szCs w:val="21"/>
          <w:lang w:eastAsia="ru-RU"/>
        </w:rPr>
        <w:lastRenderedPageBreak/>
        <w:t>топливно-энергетического комплекса, будет осуществляться, особенно на первом этапе реализации настоящей Стратегии, политика защиты российских производителей методами таможенно-тарифного регулирования.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Одним из важнейших направлений совершенствования методов сотрудничества промышленности и топливно-энергетического комплекса является обеспечение на долгосрочной основе поставки машиностроительных и металлургических изделий высокой степени комплектности и заводской готовности. Реализация этого направления необходима для сокращения объемов строительно-монтажных работ в целях обеспечения прогнозируемого ввода в действие новых и реконструируемых мощностей и других основных производственных фондов, размеры которого возрастают во всех отраслях топливно-энергетического комплекса. Необходима также организация системы качественного сервисного обслуживания оборудования его производителями в течение всего срока эксплуатации.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Необходимо создание и развитие современной информационной среды взаимодействия между предприятиями топливно-энергетического комплекса и промышленности (специализированные базы данных, информационно-аналитические и справочные системы, интернет-порталы, электронные торговые площадки и др.). Целесообразно применение современных информационных технологий как инструмента организации и поддержки всех участников процесса создания, производства и использования оборудования и материалов для топливно-энергетического комплекса, позволяющих повысить эффективность их деятельности за счет ускорения процессов исследования и разработки изделий, сокращения издержек в процессах производства и эксплуатации оборудования, а также повышения уровня его технического обслуживания.</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Одной из важных задач является решение проблемы импортозамещения (производства импортозамещающей продукции и запчастей для импортной техники). Потребность отраслей топливно-энергетического комплекса к 2030 году в основном должна удовлетворяться за счет российского оборудования. Доля импортных машин в объеме закупаемого оборудования составит на конец первого этапа реализации настоящей Стратегии не более 12 процентов, второго этапа - не более 8 процентов, а к 2030 году она снизится до 3 - 5 процентов. При этом прогнозируется, что российская промышленность освоит до 95 - 98 процентов номенклатуры изделий для топливно-энергетического комплекса.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 целью удовлетворения перспективного спроса на топливо и энергию объемы инвестиций и строительно-монтажных работ должны существенно возрасти в целом по топливно-энергетическому комплексу и по всем его отраслям. По оценке специалистов, объемы годовых строительно-монтажных работ могут увеличиться по топливно-энергетическому комплексу к 2030 году в 2-2,5 раза. Это потребует увеличения мощностей стройиндустрии и строительно-монтажных организаций. Для ускорения работ и сокращения трудозатрат непосредственно на строительных площадках необходимо повысить заводскую готовность изделий стройиндустрии, а также производительность средств механизации работ.</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4CD6">
        <w:rPr>
          <w:rFonts w:ascii="Arial" w:eastAsia="Times New Roman" w:hAnsi="Arial" w:cs="Arial"/>
          <w:color w:val="4C4C4C"/>
          <w:spacing w:val="2"/>
          <w:sz w:val="38"/>
          <w:szCs w:val="38"/>
          <w:lang w:eastAsia="ru-RU"/>
        </w:rPr>
        <w:lastRenderedPageBreak/>
        <w:t>VIII. Ожидаемые результаты и система реализации настоящей Стратегии</w:t>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1. Ожидаемые результаты</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В результате реализации мероприятий, предусмотренных настоящей Стратегией, российский энергетический сектор внесет важнейший вклад в переход к устойчивому инновационному развитию российской экономики и обеспечит:</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расширенное воспроизводство совокупного энергетического потенциала России;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необходимое развитие энергетической инфраструктуры;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стимулирование инновационного развития смежных отраслей.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Россия станет региональным лидером в сфере обеспечения евразийской энергетической безопасности на основе: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эффективного влияния на обеспечение стабильной и предсказуемой ценовой ситуации на региональных энергетических рынках;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рационализации энергетических потоков на евразийском пространстве через активное использование российской энергетической инфраструктуры, а также ее полноценной экономической и технологической интеграции с евразийской системой энергетических коммуникаций;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повышения долгосрочной устойчивости спроса и предложения энергоресурсов на евразийском пространстве за счет развития экспортных поставок российских энергоносителей, а также активного диалога со странами-производителями и странами-потребителями энергоресурсов в регионе.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Российский энергетический сектор претерпит качественные изменения и станет современным, высокотехнологичным, эффективным, устойчиво развивающимся комплексом, важнейшей составляющей которого будет не столько природно-ресурсный, сколько человеческий и инновационный потенциалы.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При этом в соответствии с настоящей Стратегией будут обеспечены: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гарантированная энергетическая безопасность России и ее регионов;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полноценное участие России в формировании системы глобальной энергетической безопасности, в том числе за счет диверсификации направлений экспортных поставок;</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снижение зависимости экономического благосостояния страны от нефтегазового сектора с </w:t>
      </w:r>
      <w:r w:rsidRPr="005E4CD6">
        <w:rPr>
          <w:rFonts w:ascii="Arial" w:eastAsia="Times New Roman" w:hAnsi="Arial" w:cs="Arial"/>
          <w:color w:val="2D2D2D"/>
          <w:spacing w:val="2"/>
          <w:sz w:val="21"/>
          <w:szCs w:val="21"/>
          <w:lang w:eastAsia="ru-RU"/>
        </w:rPr>
        <w:lastRenderedPageBreak/>
        <w:t>уменьшением доли топливно-энергетического комплекса в структуре валового внутреннего продукта с 30 до 18 процентов;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снижение удельной энергоемкости валового внутреннего продукта не менее чем в 2,3 раза;</w:t>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оптимизация структуры топливно-энергетического баланса страны со снижением доли газа в структуре внутреннего потребления топливно-энергетических ресурсов с 52 до 46-47 процентов и увеличением доли нетопливной энергетики с 11 до 13-14 процентов;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энергетическое освоение новых регионов;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социального партнерства энергетического бизнеса и общества;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рост финансово-экономической устойчивости и бюджетной эффективности хозяйствующих субъектов топливно-энергетического комплекса, достижение их стабильной инвестиционной обеспеченности;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инновационное обновление производственных фондов и энергетической инфраструктуры, создание и развитие новых видов энергии и энергетических технологий;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экологическая безопасность и эффективность развития и функционирования топливно-энергетического комплекса с ограничением объема выбросов парниковых газов к 2030 году до уровня 100-105 процентов объема указанных выбросов в 1990 году.</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 целом реализация настоящей Стратегии и осуществление сформулированной в ней государственной энергетической политики позволит удовлетворить требования к энергетическому сектору, вытекающие из намеченного перехода экономики страны на инновационный путь развития, и укрепить лидирующие позиции России на мировых энергетических рынках.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2. Система реализации настоящей Стратегии</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t>Система реализации настоящей Стратегии исходит из следующих принципов: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взаимосвязанное осуществление 2 процессов - воплощения в жизнь основных положений государственной энергетической политики и конкретизации параметров важнейших мероприятий по развитию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выделение на каждом этапе реализации настоящей Стратегии важнейших ориентиров и концентрация основных имеющихся ресурсов для достижения указанных ориентиров;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 xml:space="preserve">организация систематического опережающего мониторинга реализации настоящей Стратегии для сопоставления фактических и ожидаемых результатов осуществления государственной энергетической политики с индикаторами сводного плана ("дорожной </w:t>
      </w:r>
      <w:r w:rsidRPr="005E4CD6">
        <w:rPr>
          <w:rFonts w:ascii="Arial" w:eastAsia="Times New Roman" w:hAnsi="Arial" w:cs="Arial"/>
          <w:color w:val="2D2D2D"/>
          <w:spacing w:val="2"/>
          <w:sz w:val="21"/>
          <w:szCs w:val="21"/>
          <w:lang w:eastAsia="ru-RU"/>
        </w:rPr>
        <w:lastRenderedPageBreak/>
        <w:t>карты") мероприятий по ее реализации и прогнозными показателями развития и функционирования топливно-энергетического комплекса в увязке с ходом и результатами социально-экономического развития Российской Федерации.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Следование указанным принципам позволит не только сверять фактические результаты деятельности топливно-энергетического комплекса с целевыми показателями настоящей Стратегии, но и осуществлять корректировку текущих ориентиров государственной энергетической политики при сохранении ее главной целевой направленности. Это должно явиться одним из важнейших механизмов снижения рисков реализации настоящей Стратегии.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Система реализации настоящей Стратегии также предусматривает:</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принятие нормативных правовых актов, обеспечивающих реализацию основных положений настоящей Стратегии;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включение в план действий Правительства Российской Федерации по реализации основных направлений социально-экономического развития Российской Федерации на соответствующий период необходимых мероприятий, обеспечивающих реализацию настоящей Стратегии;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учета основных положений настоящей Стратегии при разработке корпоративных и региональных стратегических документов и формировании инвестиционных планов и программ в сфере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совершенствование системы показателей результативности государственной энергетической политики;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формирование информационно-аналитического обеспечения системы мониторинга реализации настоящей Стратегии с использованием государственных информационных ресурсов, привлечением различных общественно-политических структур и объединений, представителей законодательной власти, средств массовой информации, научных центров и институтов;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своевременное выявление и системный анализ происходящих изменений в целях предупреждения и преодоления негативных тенденций, влияющих на энергетическую безопасность страны.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Предусмотренные настоящей Стратегией мероприятия государственной энергетической политики группируются по следующим направлениям: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повышение активности геологического освоения новых территорий и акваторий;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стимулирование привлечения частных инвестиций для осуществления геолого-разведочных работ и недропользования;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стимулирование эффективного недропользования на основе полного и комплексного извлечения углеводородного сырья из недр;</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рынка независимых сервисных и инжиниринговых услуг в сфере недропользования;</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совершенствование государственного контроля над уровнем экономической концентрации на энергетических рынках;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и развитие российских систем биржевой торговли всеми видами топливно-энергетических 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формирование эффективной и стабильной системы тарифо- и ценообразования на энергетических рынках;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снижение доли газа в структуре внутреннего потребления топливно-энергетических ресурсов и увеличение доли нетопливной энергетики в структуре топливно-энергетического баланса;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рационализация экспорта и внутреннего потребления топливно-энергетических 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стимулирование производства, экспорта и внутреннего потребления энергоносителей с высокой добавленной стоимостью;</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совершенствование взаимодействия федеральных и региональных властей в энергетической сфере;</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государственная поддержка развития региональной и межрегиональной энергетической инфраструктуры;</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стимулирование комплексного развития региональной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создание устойчивой национальной инновационной системы в сфере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надежного энергоснабжения населения страны по социально доступным ценам;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расширение реального взаимодействия энергетического бизнеса и общества при решении проблем развития энергетического сектора;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развитие и повышение эффективности использования человеческого потенциала энергетического сектора;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отражение национальных интересов России в рамках формируемой системы функционирования мировых энергетических рынков;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lastRenderedPageBreak/>
        <w:t>диверсификация экспортных энергетических рынков;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диверсификация товарной структуры экспорта, повышение объема вывоза продукции с более высокой долей добавленной стоимости;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стабильных условий на экспортных рынках, включая гарантированность спроса и обоснованность цен на основные продукты российского экспорта энергоресурсов;</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укрепление позиций ведущих российских энергетических компаний за рубежом;</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обеспечение эффективной международной кооперации по рисковым и сложным проектам в России (в том числе по шельфовым проектам в арктических условиях).</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Сводный план ("дорожная карта") мероприятий государственной энергетической политики на период до 2030 года, обеспечивающих реализацию настоящей Стратегии, приведен в приложении N 5.</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Доклад о ходе реализации мероприятий, предусмотренных настоящей Стратегией, ежегодно представляется в Правительство Российской Федерации. В рамках указанного доклада осуществляются анализ и подготовка предложений:</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 обеспечению достижения главных стратегических ориентиров - энергетической безопасности, энергетической эффективности, бюджетной эффективности и экологической безопасности энергетики;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 выполнению основных групп предусмотренных настоящей Стратегией мероприятий государственной энергетической политики;</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по обеспечению достижения стратегических ориентиров развития отраслей топливно-энергетического комплекса.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t>Доработка и уточнение настоящей Стратегии осуществляется не реже 1 раза в 5 лет с одновременной пролонгацией ее временного диапазона.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4CD6">
        <w:rPr>
          <w:rFonts w:ascii="Arial" w:eastAsia="Times New Roman" w:hAnsi="Arial" w:cs="Arial"/>
          <w:color w:val="4C4C4C"/>
          <w:spacing w:val="2"/>
          <w:sz w:val="38"/>
          <w:szCs w:val="38"/>
          <w:lang w:eastAsia="ru-RU"/>
        </w:rPr>
        <w:t>Приложение N 1. Основные показатели развития экономики и топливно-энергетического комплекса России в 2008 году и прогнозные показатели Энергетической стратегии России на период до 2020 года</w:t>
      </w:r>
    </w:p>
    <w:p w:rsidR="005E4CD6" w:rsidRPr="005E4CD6" w:rsidRDefault="005E4CD6" w:rsidP="005E4C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Приложение N 1</w:t>
      </w:r>
      <w:r w:rsidRPr="005E4CD6">
        <w:rPr>
          <w:rFonts w:ascii="Arial" w:eastAsia="Times New Roman" w:hAnsi="Arial" w:cs="Arial"/>
          <w:color w:val="2D2D2D"/>
          <w:spacing w:val="2"/>
          <w:sz w:val="21"/>
          <w:szCs w:val="21"/>
          <w:lang w:eastAsia="ru-RU"/>
        </w:rPr>
        <w:br/>
        <w:t>к Энергетической стратегии России на период до 2030 года</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lastRenderedPageBreak/>
        <w:t>________________</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 По данным оптимистического варианта Энергетической стратегии России на период до 2020 года.</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52"/>
        <w:gridCol w:w="2247"/>
        <w:gridCol w:w="1818"/>
        <w:gridCol w:w="2338"/>
      </w:tblGrid>
      <w:tr w:rsidR="005E4CD6" w:rsidRPr="005E4CD6" w:rsidTr="005E4CD6">
        <w:trPr>
          <w:trHeight w:val="12"/>
        </w:trPr>
        <w:tc>
          <w:tcPr>
            <w:tcW w:w="4250" w:type="dxa"/>
            <w:hideMark/>
          </w:tcPr>
          <w:p w:rsidR="005E4CD6" w:rsidRPr="005E4CD6" w:rsidRDefault="005E4CD6" w:rsidP="005E4CD6">
            <w:pPr>
              <w:spacing w:after="0" w:line="240" w:lineRule="auto"/>
              <w:rPr>
                <w:rFonts w:ascii="Arial" w:eastAsia="Times New Roman" w:hAnsi="Arial" w:cs="Arial"/>
                <w:color w:val="2D2D2D"/>
                <w:spacing w:val="2"/>
                <w:sz w:val="21"/>
                <w:szCs w:val="21"/>
                <w:lang w:eastAsia="ru-RU"/>
              </w:rPr>
            </w:pPr>
          </w:p>
        </w:tc>
        <w:tc>
          <w:tcPr>
            <w:tcW w:w="2772"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221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2957"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4250" w:type="dxa"/>
            <w:tcBorders>
              <w:top w:val="single" w:sz="6" w:space="0" w:color="000000"/>
              <w:left w:val="nil"/>
              <w:bottom w:val="nil"/>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Показатели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2008 год</w:t>
            </w:r>
          </w:p>
        </w:tc>
        <w:tc>
          <w:tcPr>
            <w:tcW w:w="2957" w:type="dxa"/>
            <w:tcBorders>
              <w:top w:val="single" w:sz="6" w:space="0" w:color="000000"/>
              <w:left w:val="single" w:sz="6" w:space="0" w:color="000000"/>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Отношение фактических</w:t>
            </w:r>
          </w:p>
        </w:tc>
      </w:tr>
      <w:tr w:rsidR="005E4CD6" w:rsidRPr="005E4CD6" w:rsidTr="005E4CD6">
        <w:tc>
          <w:tcPr>
            <w:tcW w:w="4250" w:type="dxa"/>
            <w:tcBorders>
              <w:top w:val="nil"/>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прогнозные показатели</w:t>
            </w:r>
            <w:r w:rsidRPr="005E4CD6">
              <w:rPr>
                <w:rFonts w:ascii="Times New Roman" w:eastAsia="Times New Roman" w:hAnsi="Times New Roman" w:cs="Times New Roman"/>
                <w:color w:val="2D2D2D"/>
                <w:sz w:val="21"/>
                <w:szCs w:val="21"/>
                <w:lang w:eastAsia="ru-RU"/>
              </w:rPr>
              <w:br/>
              <w:t>Энергетической стратегии России на период</w:t>
            </w:r>
            <w:r w:rsidRPr="005E4CD6">
              <w:rPr>
                <w:rFonts w:ascii="Times New Roman" w:eastAsia="Times New Roman" w:hAnsi="Times New Roman" w:cs="Times New Roman"/>
                <w:color w:val="2D2D2D"/>
                <w:sz w:val="21"/>
                <w:szCs w:val="21"/>
                <w:lang w:eastAsia="ru-RU"/>
              </w:rPr>
              <w:br/>
              <w:t>до 2020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фактические показатели</w:t>
            </w:r>
          </w:p>
        </w:tc>
        <w:tc>
          <w:tcPr>
            <w:tcW w:w="2957" w:type="dxa"/>
            <w:tcBorders>
              <w:top w:val="nil"/>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показателей</w:t>
            </w:r>
            <w:r w:rsidRPr="005E4CD6">
              <w:rPr>
                <w:rFonts w:ascii="Times New Roman" w:eastAsia="Times New Roman" w:hAnsi="Times New Roman" w:cs="Times New Roman"/>
                <w:color w:val="2D2D2D"/>
                <w:sz w:val="21"/>
                <w:szCs w:val="21"/>
                <w:lang w:eastAsia="ru-RU"/>
              </w:rPr>
              <w:br/>
              <w:t>к прогнозным показателям</w:t>
            </w:r>
            <w:r w:rsidRPr="005E4CD6">
              <w:rPr>
                <w:rFonts w:ascii="Times New Roman" w:eastAsia="Times New Roman" w:hAnsi="Times New Roman" w:cs="Times New Roman"/>
                <w:color w:val="2D2D2D"/>
                <w:sz w:val="21"/>
                <w:szCs w:val="21"/>
                <w:lang w:eastAsia="ru-RU"/>
              </w:rPr>
              <w:br/>
              <w:t>Энергетической стратегии России на период</w:t>
            </w:r>
            <w:r w:rsidRPr="005E4CD6">
              <w:rPr>
                <w:rFonts w:ascii="Times New Roman" w:eastAsia="Times New Roman" w:hAnsi="Times New Roman" w:cs="Times New Roman"/>
                <w:color w:val="2D2D2D"/>
                <w:sz w:val="21"/>
                <w:szCs w:val="21"/>
                <w:lang w:eastAsia="ru-RU"/>
              </w:rPr>
              <w:br/>
              <w:t>до 2020 года</w:t>
            </w:r>
            <w:r w:rsidRPr="005E4CD6">
              <w:rPr>
                <w:rFonts w:ascii="Times New Roman" w:eastAsia="Times New Roman" w:hAnsi="Times New Roman" w:cs="Times New Roman"/>
                <w:color w:val="2D2D2D"/>
                <w:sz w:val="21"/>
                <w:szCs w:val="21"/>
                <w:lang w:eastAsia="ru-RU"/>
              </w:rPr>
              <w:br/>
              <w:t>(процентов)</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Рост валового внутреннего продукта</w:t>
            </w:r>
            <w:r w:rsidRPr="005E4CD6">
              <w:rPr>
                <w:rFonts w:ascii="Times New Roman" w:eastAsia="Times New Roman" w:hAnsi="Times New Roman" w:cs="Times New Roman"/>
                <w:color w:val="2D2D2D"/>
                <w:sz w:val="21"/>
                <w:szCs w:val="21"/>
                <w:lang w:eastAsia="ru-RU"/>
              </w:rPr>
              <w:br/>
              <w:t>(в процентах к 2000 году)</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148,4</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165,1</w:t>
            </w:r>
          </w:p>
        </w:tc>
        <w:tc>
          <w:tcPr>
            <w:tcW w:w="2957" w:type="dxa"/>
            <w:tcBorders>
              <w:top w:val="single" w:sz="6" w:space="0" w:color="000000"/>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111,2</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Рост объема промышленной продукции</w:t>
            </w:r>
            <w:r w:rsidRPr="005E4CD6">
              <w:rPr>
                <w:rFonts w:ascii="Times New Roman" w:eastAsia="Times New Roman" w:hAnsi="Times New Roman" w:cs="Times New Roman"/>
                <w:color w:val="2D2D2D"/>
                <w:sz w:val="21"/>
                <w:szCs w:val="21"/>
                <w:lang w:eastAsia="ru-RU"/>
              </w:rPr>
              <w:br/>
              <w:t>(в процентах к 2000 году)</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141</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146,7</w:t>
            </w: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104</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Среднегодовая мировая цена нефти ("Urals") (долларов США за баррель)</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24</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94,6</w:t>
            </w: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394,1</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Среднегодовая контрактная цена газа (долларов США за тыс.куб.м)</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120</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353,7</w:t>
            </w: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294,8</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Рост добычи и производства первичных топливно-энергетических ресурсов</w:t>
            </w:r>
            <w:r w:rsidRPr="005E4CD6">
              <w:rPr>
                <w:rFonts w:ascii="Times New Roman" w:eastAsia="Times New Roman" w:hAnsi="Times New Roman" w:cs="Times New Roman"/>
                <w:color w:val="2D2D2D"/>
                <w:sz w:val="21"/>
                <w:szCs w:val="21"/>
                <w:lang w:eastAsia="ru-RU"/>
              </w:rPr>
              <w:br/>
              <w:t>(в процентах к 2000 году)</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123,2</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126,4</w:t>
            </w: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102,6</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Объем добычи и производства первичных топливно-энергетических ресурсов (млн.тонн условного топлива)</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1747</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1797,8</w:t>
            </w: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102,9</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Объем добычи нефти (млн.тонн)</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476</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487,6</w:t>
            </w: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102,4</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Объем добычи газа (млрд.куб.м)</w:t>
            </w:r>
            <w:r w:rsidRPr="005E4CD6">
              <w:rPr>
                <w:rFonts w:ascii="Times New Roman" w:eastAsia="Times New Roman" w:hAnsi="Times New Roman" w:cs="Times New Roman"/>
                <w:color w:val="2D2D2D"/>
                <w:sz w:val="21"/>
                <w:szCs w:val="21"/>
                <w:lang w:eastAsia="ru-RU"/>
              </w:rPr>
              <w:br/>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638</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663,6</w:t>
            </w: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104</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Объем добычи угля (млн.тонн)</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300</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326,1</w:t>
            </w: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108,7</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Объем производства электроэнергии</w:t>
            </w:r>
            <w:r w:rsidRPr="005E4CD6">
              <w:rPr>
                <w:rFonts w:ascii="Times New Roman" w:eastAsia="Times New Roman" w:hAnsi="Times New Roman" w:cs="Times New Roman"/>
                <w:color w:val="2D2D2D"/>
                <w:sz w:val="21"/>
                <w:szCs w:val="21"/>
                <w:lang w:eastAsia="ru-RU"/>
              </w:rPr>
              <w:br/>
              <w:t>(млрд.</w:t>
            </w:r>
            <w:r w:rsidRPr="005E4CD6">
              <w:rPr>
                <w:rFonts w:ascii="Times New Roman" w:eastAsia="Times New Roman" w:hAnsi="Times New Roman" w:cs="Times New Roman"/>
                <w:noProof/>
                <w:color w:val="2D2D2D"/>
                <w:sz w:val="21"/>
                <w:szCs w:val="21"/>
                <w:lang w:eastAsia="ru-RU"/>
              </w:rPr>
              <w:drawing>
                <wp:inline distT="0" distB="0" distL="0" distR="0" wp14:anchorId="48F99840" wp14:editId="0ED51657">
                  <wp:extent cx="457200" cy="158750"/>
                  <wp:effectExtent l="0" t="0" r="0" b="0"/>
                  <wp:docPr id="8" name="Рисунок 4" descr="Об утверждении Энергетической стратегии России на период до 203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Энергетической стратегии России на период до 2030 год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58750"/>
                          </a:xfrm>
                          <a:prstGeom prst="rect">
                            <a:avLst/>
                          </a:prstGeom>
                          <a:noFill/>
                          <a:ln>
                            <a:noFill/>
                          </a:ln>
                        </pic:spPr>
                      </pic:pic>
                    </a:graphicData>
                  </a:graphic>
                </wp:inline>
              </w:drawing>
            </w:r>
            <w:r w:rsidRPr="005E4CD6">
              <w:rPr>
                <w:rFonts w:ascii="Times New Roman" w:eastAsia="Times New Roman" w:hAnsi="Times New Roman" w:cs="Times New Roman"/>
                <w:color w:val="2D2D2D"/>
                <w:sz w:val="21"/>
                <w:szCs w:val="21"/>
                <w:lang w:eastAsia="ru-RU"/>
              </w:rPr>
              <w:t>)</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1009</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1037,2</w:t>
            </w: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102,8</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Объем потребления первичных топливно-энергетических ресурсов</w:t>
            </w:r>
            <w:r w:rsidRPr="005E4CD6">
              <w:rPr>
                <w:rFonts w:ascii="Times New Roman" w:eastAsia="Times New Roman" w:hAnsi="Times New Roman" w:cs="Times New Roman"/>
                <w:color w:val="2D2D2D"/>
                <w:sz w:val="21"/>
                <w:szCs w:val="21"/>
                <w:lang w:eastAsia="ru-RU"/>
              </w:rPr>
              <w:br/>
              <w:t>(млн.тонн условного топлива)</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1043</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990,9</w:t>
            </w: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94,9</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Рост потребления первичных энергоресурсов</w:t>
            </w:r>
            <w:r w:rsidRPr="005E4CD6">
              <w:rPr>
                <w:rFonts w:ascii="Times New Roman" w:eastAsia="Times New Roman" w:hAnsi="Times New Roman" w:cs="Times New Roman"/>
                <w:color w:val="2D2D2D"/>
                <w:sz w:val="21"/>
                <w:szCs w:val="21"/>
                <w:lang w:eastAsia="ru-RU"/>
              </w:rPr>
              <w:br/>
              <w:t>(в процентах к 2000 году)</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115,4</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110,2</w:t>
            </w: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95,5</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Объем потребления жидкого топлива (млн.тонн условного топлива)</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218</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187,3</w:t>
            </w: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85,9</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Объем потребления газа (млн.тонн условного топлива)</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516</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525,7</w:t>
            </w: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101,9</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Объем потребления твердого топлива (млн.тонн условного топлива)</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195</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175</w:t>
            </w: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89,7</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Объем потребления электроэнергии</w:t>
            </w:r>
            <w:r w:rsidRPr="005E4CD6">
              <w:rPr>
                <w:rFonts w:ascii="Times New Roman" w:eastAsia="Times New Roman" w:hAnsi="Times New Roman" w:cs="Times New Roman"/>
                <w:color w:val="2D2D2D"/>
                <w:sz w:val="21"/>
                <w:szCs w:val="21"/>
                <w:lang w:eastAsia="ru-RU"/>
              </w:rPr>
              <w:br/>
              <w:t>(млрд.</w:t>
            </w:r>
            <w:r w:rsidRPr="005E4CD6">
              <w:rPr>
                <w:rFonts w:ascii="Times New Roman" w:eastAsia="Times New Roman" w:hAnsi="Times New Roman" w:cs="Times New Roman"/>
                <w:noProof/>
                <w:color w:val="2D2D2D"/>
                <w:sz w:val="21"/>
                <w:szCs w:val="21"/>
                <w:lang w:eastAsia="ru-RU"/>
              </w:rPr>
              <w:drawing>
                <wp:inline distT="0" distB="0" distL="0" distR="0" wp14:anchorId="2A52BD9F" wp14:editId="6E15C464">
                  <wp:extent cx="444500" cy="158750"/>
                  <wp:effectExtent l="0" t="0" r="0" b="0"/>
                  <wp:docPr id="7" name="Рисунок 5" descr="Об утверждении Энергетической стратегии России на период до 203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Энергетической стратегии России на период до 2030 год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00" cy="158750"/>
                          </a:xfrm>
                          <a:prstGeom prst="rect">
                            <a:avLst/>
                          </a:prstGeom>
                          <a:noFill/>
                          <a:ln>
                            <a:noFill/>
                          </a:ln>
                        </pic:spPr>
                      </pic:pic>
                    </a:graphicData>
                  </a:graphic>
                </wp:inline>
              </w:drawing>
            </w:r>
            <w:r w:rsidRPr="005E4CD6">
              <w:rPr>
                <w:rFonts w:ascii="Times New Roman" w:eastAsia="Times New Roman" w:hAnsi="Times New Roman" w:cs="Times New Roman"/>
                <w:color w:val="2D2D2D"/>
                <w:sz w:val="21"/>
                <w:szCs w:val="21"/>
                <w:lang w:eastAsia="ru-RU"/>
              </w:rPr>
              <w:t>)</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980</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1019,6</w:t>
            </w: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104</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Рост экспорта топливно-энергетических ресурсов</w:t>
            </w:r>
            <w:r w:rsidRPr="005E4CD6">
              <w:rPr>
                <w:rFonts w:ascii="Times New Roman" w:eastAsia="Times New Roman" w:hAnsi="Times New Roman" w:cs="Times New Roman"/>
                <w:color w:val="2D2D2D"/>
                <w:sz w:val="21"/>
                <w:szCs w:val="21"/>
                <w:lang w:eastAsia="ru-RU"/>
              </w:rPr>
              <w:br/>
              <w:t>(в процентах к 2000 году)</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146,9</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150,2</w:t>
            </w: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102,2</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Объем экспорта топливно-энергетических ресурсов - всего (млн.тонн</w:t>
            </w:r>
            <w:r w:rsidRPr="005E4CD6">
              <w:rPr>
                <w:rFonts w:ascii="Times New Roman" w:eastAsia="Times New Roman" w:hAnsi="Times New Roman" w:cs="Times New Roman"/>
                <w:color w:val="2D2D2D"/>
                <w:sz w:val="21"/>
                <w:szCs w:val="21"/>
                <w:lang w:eastAsia="ru-RU"/>
              </w:rPr>
              <w:br/>
              <w:t>условного топлива)</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805</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882,7</w:t>
            </w: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109,6</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нефть и нефтепродукты (млн.тонн)</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332</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360</w:t>
            </w: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108,4</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газ (млрд.куб.м)</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250</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247,5</w:t>
            </w: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99</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уголь (млн.тонн)</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32</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97,5</w:t>
            </w: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304,7</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Удельная энергоемкость внутреннего валового продукта (процентов к 2000 году)</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78</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66,7</w:t>
            </w: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85,5</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Удельная электроемкость внутреннего валового продукта (в процентах к 2000 году)</w:t>
            </w:r>
          </w:p>
        </w:tc>
        <w:tc>
          <w:tcPr>
            <w:tcW w:w="2772"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76,4</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71,5</w:t>
            </w:r>
          </w:p>
        </w:tc>
        <w:tc>
          <w:tcPr>
            <w:tcW w:w="295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93,6</w:t>
            </w:r>
          </w:p>
        </w:tc>
      </w:tr>
    </w:tbl>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Прогнозные показатели динамики внутреннего спроса на основные виды энергоресурсов на период до 2030 года*(</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________________</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lastRenderedPageBreak/>
        <w:t>* В настоящей и последующих таблицах даны диапазоны изменения как суммарных показателей, так и их отдельных составляющих, - без формирования комплексных "нижнего" и "верхнего" сценариев.</w:t>
      </w:r>
    </w:p>
    <w:tbl>
      <w:tblPr>
        <w:tblW w:w="0" w:type="auto"/>
        <w:tblCellMar>
          <w:left w:w="0" w:type="dxa"/>
          <w:right w:w="0" w:type="dxa"/>
        </w:tblCellMar>
        <w:tblLook w:val="04A0" w:firstRow="1" w:lastRow="0" w:firstColumn="1" w:lastColumn="0" w:noHBand="0" w:noVBand="1"/>
      </w:tblPr>
      <w:tblGrid>
        <w:gridCol w:w="3208"/>
        <w:gridCol w:w="1279"/>
        <w:gridCol w:w="1060"/>
        <w:gridCol w:w="1306"/>
        <w:gridCol w:w="1196"/>
        <w:gridCol w:w="1306"/>
      </w:tblGrid>
      <w:tr w:rsidR="005E4CD6" w:rsidRPr="005E4CD6" w:rsidTr="005E4CD6">
        <w:trPr>
          <w:trHeight w:val="12"/>
        </w:trPr>
        <w:tc>
          <w:tcPr>
            <w:tcW w:w="4250" w:type="dxa"/>
            <w:hideMark/>
          </w:tcPr>
          <w:p w:rsidR="005E4CD6" w:rsidRPr="005E4CD6" w:rsidRDefault="005E4CD6" w:rsidP="005E4CD6">
            <w:pPr>
              <w:spacing w:after="0" w:line="240" w:lineRule="auto"/>
              <w:rPr>
                <w:rFonts w:ascii="Arial" w:eastAsia="Times New Roman" w:hAnsi="Arial" w:cs="Arial"/>
                <w:color w:val="2D2D2D"/>
                <w:spacing w:val="2"/>
                <w:sz w:val="21"/>
                <w:szCs w:val="21"/>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294"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425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Показатели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2005 год</w:t>
            </w:r>
            <w:r w:rsidRPr="005E4CD6">
              <w:rPr>
                <w:rFonts w:ascii="Times New Roman" w:eastAsia="Times New Roman" w:hAnsi="Times New Roman" w:cs="Times New Roman"/>
                <w:color w:val="2D2D2D"/>
                <w:sz w:val="21"/>
                <w:szCs w:val="21"/>
                <w:lang w:eastAsia="ru-RU"/>
              </w:rPr>
              <w:br/>
              <w:t>факт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2008 год</w:t>
            </w:r>
            <w:r w:rsidRPr="005E4CD6">
              <w:rPr>
                <w:rFonts w:ascii="Times New Roman" w:eastAsia="Times New Roman" w:hAnsi="Times New Roman" w:cs="Times New Roman"/>
                <w:color w:val="2D2D2D"/>
                <w:sz w:val="21"/>
                <w:szCs w:val="21"/>
                <w:lang w:eastAsia="ru-RU"/>
              </w:rPr>
              <w:br/>
              <w:t>факт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w:t>
            </w:r>
            <w:r w:rsidRPr="005E4CD6">
              <w:rPr>
                <w:rFonts w:ascii="Times New Roman" w:eastAsia="Times New Roman" w:hAnsi="Times New Roman" w:cs="Times New Roman"/>
                <w:color w:val="2D2D2D"/>
                <w:sz w:val="21"/>
                <w:szCs w:val="21"/>
                <w:lang w:eastAsia="ru-RU"/>
              </w:rPr>
              <w:br/>
              <w:t>этап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w:t>
            </w:r>
            <w:r w:rsidRPr="005E4CD6">
              <w:rPr>
                <w:rFonts w:ascii="Times New Roman" w:eastAsia="Times New Roman" w:hAnsi="Times New Roman" w:cs="Times New Roman"/>
                <w:color w:val="2D2D2D"/>
                <w:sz w:val="21"/>
                <w:szCs w:val="21"/>
                <w:lang w:eastAsia="ru-RU"/>
              </w:rPr>
              <w:br/>
              <w:t>этап</w:t>
            </w: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w:t>
            </w:r>
            <w:r w:rsidRPr="005E4CD6">
              <w:rPr>
                <w:rFonts w:ascii="Times New Roman" w:eastAsia="Times New Roman" w:hAnsi="Times New Roman" w:cs="Times New Roman"/>
                <w:color w:val="2D2D2D"/>
                <w:sz w:val="21"/>
                <w:szCs w:val="21"/>
                <w:lang w:eastAsia="ru-RU"/>
              </w:rPr>
              <w:br/>
              <w:t>этап</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Внутреннее потребление первичных топливно-энергетических ресурсов (млн.тонн условного топлива)</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949</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991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1008-1107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1160-1250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1375-1565</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то же (в процентах к 2005 году)</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100</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104</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106-117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122-132</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145-165</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Внутреннее потребление нефти (переработка) (млн.тонн)</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208</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236</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232-239</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249-260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275-311</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то же (в процентах к 2005 году)</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100</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112-115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120-125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132-150</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Внутреннее потребление газа (млрд.куб.м)</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443</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457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478-519</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539-564</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605-641</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то же (в процентах к 2005 году)</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100</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108-117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122-127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137-145</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Внутреннее потребление твердого топлива (млн.тонн условного топлива)</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167</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174</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168-197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198-238</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248-302</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то же (в процентах к 2005 году)</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100</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104</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98-115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116-140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145-177</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Внутреннее потребление электроэнергии</w:t>
            </w:r>
            <w:r w:rsidRPr="005E4CD6">
              <w:rPr>
                <w:rFonts w:ascii="Times New Roman" w:eastAsia="Times New Roman" w:hAnsi="Times New Roman" w:cs="Times New Roman"/>
                <w:color w:val="2D2D2D"/>
                <w:sz w:val="21"/>
                <w:szCs w:val="21"/>
                <w:lang w:eastAsia="ru-RU"/>
              </w:rPr>
              <w:br/>
              <w:t>(млрд.кВт·ч)</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941</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1020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1041-1218</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1315-1518</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1740-2164</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то же (в процентах к 2005 году)</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100</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108</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111-130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140-161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185-230</w:t>
            </w:r>
          </w:p>
        </w:tc>
      </w:tr>
    </w:tbl>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Прогнозные показатели динамики экспорта российских энергоресурсов на период до 2030 года</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315"/>
        <w:gridCol w:w="1170"/>
        <w:gridCol w:w="1280"/>
        <w:gridCol w:w="1156"/>
        <w:gridCol w:w="1278"/>
        <w:gridCol w:w="1156"/>
      </w:tblGrid>
      <w:tr w:rsidR="005E4CD6" w:rsidRPr="005E4CD6" w:rsidTr="005E4CD6">
        <w:trPr>
          <w:trHeight w:val="12"/>
        </w:trPr>
        <w:tc>
          <w:tcPr>
            <w:tcW w:w="4435" w:type="dxa"/>
            <w:hideMark/>
          </w:tcPr>
          <w:p w:rsidR="005E4CD6" w:rsidRPr="005E4CD6" w:rsidRDefault="005E4CD6" w:rsidP="005E4CD6">
            <w:pPr>
              <w:spacing w:after="0" w:line="240" w:lineRule="auto"/>
              <w:rPr>
                <w:rFonts w:ascii="Arial" w:eastAsia="Times New Roman" w:hAnsi="Arial" w:cs="Arial"/>
                <w:color w:val="2D2D2D"/>
                <w:spacing w:val="2"/>
                <w:sz w:val="21"/>
                <w:szCs w:val="21"/>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4435"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Показатели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2005 год</w:t>
            </w:r>
            <w:r w:rsidRPr="005E4CD6">
              <w:rPr>
                <w:rFonts w:ascii="Times New Roman" w:eastAsia="Times New Roman" w:hAnsi="Times New Roman" w:cs="Times New Roman"/>
                <w:color w:val="2D2D2D"/>
                <w:sz w:val="21"/>
                <w:szCs w:val="21"/>
                <w:lang w:eastAsia="ru-RU"/>
              </w:rPr>
              <w:br/>
              <w:t>факт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2008 год</w:t>
            </w:r>
            <w:r w:rsidRPr="005E4CD6">
              <w:rPr>
                <w:rFonts w:ascii="Times New Roman" w:eastAsia="Times New Roman" w:hAnsi="Times New Roman" w:cs="Times New Roman"/>
                <w:color w:val="2D2D2D"/>
                <w:sz w:val="21"/>
                <w:szCs w:val="21"/>
                <w:lang w:eastAsia="ru-RU"/>
              </w:rPr>
              <w:br/>
              <w:t>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w:t>
            </w:r>
            <w:r w:rsidRPr="005E4CD6">
              <w:rPr>
                <w:rFonts w:ascii="Times New Roman" w:eastAsia="Times New Roman" w:hAnsi="Times New Roman" w:cs="Times New Roman"/>
                <w:color w:val="2D2D2D"/>
                <w:sz w:val="21"/>
                <w:szCs w:val="21"/>
                <w:lang w:eastAsia="ru-RU"/>
              </w:rPr>
              <w:br/>
              <w:t>этап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w:t>
            </w:r>
            <w:r w:rsidRPr="005E4CD6">
              <w:rPr>
                <w:rFonts w:ascii="Times New Roman" w:eastAsia="Times New Roman" w:hAnsi="Times New Roman" w:cs="Times New Roman"/>
                <w:color w:val="2D2D2D"/>
                <w:sz w:val="21"/>
                <w:szCs w:val="21"/>
                <w:lang w:eastAsia="ru-RU"/>
              </w:rPr>
              <w:br/>
              <w:t>этап</w:t>
            </w:r>
          </w:p>
        </w:tc>
        <w:tc>
          <w:tcPr>
            <w:tcW w:w="147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w:t>
            </w:r>
            <w:r w:rsidRPr="005E4CD6">
              <w:rPr>
                <w:rFonts w:ascii="Times New Roman" w:eastAsia="Times New Roman" w:hAnsi="Times New Roman" w:cs="Times New Roman"/>
                <w:color w:val="2D2D2D"/>
                <w:sz w:val="21"/>
                <w:szCs w:val="21"/>
                <w:lang w:eastAsia="ru-RU"/>
              </w:rPr>
              <w:br/>
              <w:t>этап</w:t>
            </w:r>
          </w:p>
        </w:tc>
      </w:tr>
      <w:tr w:rsidR="005E4CD6" w:rsidRPr="005E4CD6" w:rsidTr="005E4CD6">
        <w:tc>
          <w:tcPr>
            <w:tcW w:w="4435"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Экспорт - всего</w:t>
            </w:r>
            <w:r w:rsidRPr="005E4CD6">
              <w:rPr>
                <w:rFonts w:ascii="Times New Roman" w:eastAsia="Times New Roman" w:hAnsi="Times New Roman" w:cs="Times New Roman"/>
                <w:color w:val="2D2D2D"/>
                <w:sz w:val="21"/>
                <w:szCs w:val="21"/>
                <w:lang w:eastAsia="ru-RU"/>
              </w:rPr>
              <w:br/>
              <w:t>(млн.тонн условного топлива)</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865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883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913-943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978-1013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974-985</w:t>
            </w:r>
          </w:p>
        </w:tc>
      </w:tr>
      <w:tr w:rsidR="005E4CD6" w:rsidRPr="005E4CD6" w:rsidTr="005E4CD6">
        <w:tc>
          <w:tcPr>
            <w:tcW w:w="4435"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то же (в процентах к 2005 году)</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106-109</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113-117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113-114</w:t>
            </w:r>
          </w:p>
        </w:tc>
      </w:tr>
      <w:tr w:rsidR="005E4CD6" w:rsidRPr="005E4CD6" w:rsidTr="005E4CD6">
        <w:tc>
          <w:tcPr>
            <w:tcW w:w="4435"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4435"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сырая нефть (млн.тонн)</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253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243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243-244</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240-252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222-248</w:t>
            </w:r>
          </w:p>
        </w:tc>
      </w:tr>
      <w:tr w:rsidR="005E4CD6" w:rsidRPr="005E4CD6" w:rsidTr="005E4CD6">
        <w:tc>
          <w:tcPr>
            <w:tcW w:w="4435"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природный газ (млрд.куб.м)</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256</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241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270-294</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332-341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349-368</w:t>
            </w:r>
          </w:p>
        </w:tc>
      </w:tr>
      <w:tr w:rsidR="005E4CD6" w:rsidRPr="005E4CD6" w:rsidTr="005E4CD6">
        <w:tc>
          <w:tcPr>
            <w:tcW w:w="4435"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уголь (млн.тонн условного топлива)</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58</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72-74</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74-75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69-74</w:t>
            </w:r>
          </w:p>
        </w:tc>
      </w:tr>
      <w:tr w:rsidR="005E4CD6" w:rsidRPr="005E4CD6" w:rsidTr="005E4CD6">
        <w:tc>
          <w:tcPr>
            <w:tcW w:w="4435"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электроэнергия (нетто-экспорт,</w:t>
            </w:r>
            <w:r w:rsidRPr="005E4CD6">
              <w:rPr>
                <w:rFonts w:ascii="Times New Roman" w:eastAsia="Times New Roman" w:hAnsi="Times New Roman" w:cs="Times New Roman"/>
                <w:color w:val="2D2D2D"/>
                <w:sz w:val="21"/>
                <w:szCs w:val="21"/>
                <w:lang w:eastAsia="ru-RU"/>
              </w:rPr>
              <w:br/>
              <w:t>млрд.кВт·ч)</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18-25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45-60</w:t>
            </w:r>
          </w:p>
        </w:tc>
      </w:tr>
    </w:tbl>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4CD6">
        <w:rPr>
          <w:rFonts w:ascii="Arial" w:eastAsia="Times New Roman" w:hAnsi="Arial" w:cs="Arial"/>
          <w:color w:val="4C4C4C"/>
          <w:spacing w:val="2"/>
          <w:sz w:val="38"/>
          <w:szCs w:val="38"/>
          <w:lang w:eastAsia="ru-RU"/>
        </w:rPr>
        <w:lastRenderedPageBreak/>
        <w:t>Приложение N 2. Индикаторы энергетической безопасности</w:t>
      </w:r>
    </w:p>
    <w:p w:rsidR="005E4CD6" w:rsidRPr="005E4CD6" w:rsidRDefault="005E4CD6" w:rsidP="005E4C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Приложение N 2</w:t>
      </w:r>
      <w:r w:rsidRPr="005E4CD6">
        <w:rPr>
          <w:rFonts w:ascii="Arial" w:eastAsia="Times New Roman" w:hAnsi="Arial" w:cs="Arial"/>
          <w:color w:val="2D2D2D"/>
          <w:spacing w:val="2"/>
          <w:sz w:val="21"/>
          <w:szCs w:val="21"/>
          <w:lang w:eastAsia="ru-RU"/>
        </w:rPr>
        <w:br/>
        <w:t>к Энергетической стратегии России на период до 2030 года</w:t>
      </w:r>
    </w:p>
    <w:tbl>
      <w:tblPr>
        <w:tblW w:w="0" w:type="auto"/>
        <w:tblCellMar>
          <w:left w:w="0" w:type="dxa"/>
          <w:right w:w="0" w:type="dxa"/>
        </w:tblCellMar>
        <w:tblLook w:val="04A0" w:firstRow="1" w:lastRow="0" w:firstColumn="1" w:lastColumn="0" w:noHBand="0" w:noVBand="1"/>
      </w:tblPr>
      <w:tblGrid>
        <w:gridCol w:w="3164"/>
        <w:gridCol w:w="3163"/>
        <w:gridCol w:w="3028"/>
      </w:tblGrid>
      <w:tr w:rsidR="005E4CD6" w:rsidRPr="005E4CD6" w:rsidTr="005E4CD6">
        <w:trPr>
          <w:trHeight w:val="12"/>
        </w:trPr>
        <w:tc>
          <w:tcPr>
            <w:tcW w:w="3881" w:type="dxa"/>
            <w:hideMark/>
          </w:tcPr>
          <w:p w:rsidR="005E4CD6" w:rsidRPr="005E4CD6" w:rsidRDefault="005E4CD6" w:rsidP="005E4CD6">
            <w:pPr>
              <w:spacing w:after="0" w:line="240" w:lineRule="auto"/>
              <w:rPr>
                <w:rFonts w:ascii="Arial" w:eastAsia="Times New Roman" w:hAnsi="Arial" w:cs="Arial"/>
                <w:color w:val="2D2D2D"/>
                <w:spacing w:val="2"/>
                <w:sz w:val="21"/>
                <w:szCs w:val="21"/>
                <w:lang w:eastAsia="ru-RU"/>
              </w:rPr>
            </w:pPr>
          </w:p>
        </w:tc>
        <w:tc>
          <w:tcPr>
            <w:tcW w:w="3881"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3696"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881"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 этап</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 этап</w:t>
            </w:r>
          </w:p>
        </w:tc>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 этап</w:t>
            </w:r>
          </w:p>
        </w:tc>
      </w:tr>
      <w:tr w:rsidR="005E4CD6" w:rsidRPr="005E4CD6" w:rsidTr="005E4CD6">
        <w:tc>
          <w:tcPr>
            <w:tcW w:w="11458"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Рост душевого энергопотребления, (в процентах к 2005 году)</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10 процентов</w:t>
            </w:r>
          </w:p>
        </w:tc>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20 процентов</w:t>
            </w:r>
          </w:p>
        </w:tc>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40 процентов</w:t>
            </w:r>
          </w:p>
        </w:tc>
      </w:tr>
      <w:tr w:rsidR="005E4CD6" w:rsidRPr="005E4CD6" w:rsidTr="005E4CD6">
        <w:tc>
          <w:tcPr>
            <w:tcW w:w="11458"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Рост душевого электропотребления, (в процентах к 2005 году)</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13 процентов</w:t>
            </w:r>
          </w:p>
        </w:tc>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43 процентов</w:t>
            </w:r>
          </w:p>
        </w:tc>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85 процентов</w:t>
            </w:r>
          </w:p>
        </w:tc>
      </w:tr>
      <w:tr w:rsidR="005E4CD6" w:rsidRPr="005E4CD6" w:rsidTr="005E4CD6">
        <w:tc>
          <w:tcPr>
            <w:tcW w:w="11458"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Рост душевого потребления моторного топлива (в процентах к 2005 году)</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23 процентов</w:t>
            </w:r>
          </w:p>
        </w:tc>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41 процента</w:t>
            </w:r>
          </w:p>
        </w:tc>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70 процентов</w:t>
            </w:r>
          </w:p>
        </w:tc>
      </w:tr>
      <w:tr w:rsidR="005E4CD6" w:rsidRPr="005E4CD6" w:rsidTr="005E4CD6">
        <w:tc>
          <w:tcPr>
            <w:tcW w:w="11458"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Снижение среднего износа основных производственных фондов (в процентах к 2005 году)</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на 10 процентов</w:t>
            </w:r>
          </w:p>
        </w:tc>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на 10 процентов</w:t>
            </w:r>
          </w:p>
        </w:tc>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на 5 процентов</w:t>
            </w:r>
          </w:p>
        </w:tc>
      </w:tr>
      <w:tr w:rsidR="005E4CD6" w:rsidRPr="005E4CD6" w:rsidTr="005E4CD6">
        <w:tc>
          <w:tcPr>
            <w:tcW w:w="11458"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Ликвидация дефицита и поддержание устойчивого резерва электро- и теплогенерирующих мощностей, включающих поддержание резерва мощности электростанций на уровне 17 процентов общей установленной мощности электростанций в ЕЭС России</w:t>
            </w:r>
          </w:p>
        </w:tc>
      </w:tr>
    </w:tbl>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Индикаторы энергетической эффективности экономики</w:t>
      </w:r>
    </w:p>
    <w:tbl>
      <w:tblPr>
        <w:tblW w:w="0" w:type="auto"/>
        <w:tblCellMar>
          <w:left w:w="0" w:type="dxa"/>
          <w:right w:w="0" w:type="dxa"/>
        </w:tblCellMar>
        <w:tblLook w:val="04A0" w:firstRow="1" w:lastRow="0" w:firstColumn="1" w:lastColumn="0" w:noHBand="0" w:noVBand="1"/>
      </w:tblPr>
      <w:tblGrid>
        <w:gridCol w:w="3162"/>
        <w:gridCol w:w="3162"/>
        <w:gridCol w:w="3031"/>
      </w:tblGrid>
      <w:tr w:rsidR="005E4CD6" w:rsidRPr="005E4CD6" w:rsidTr="005E4CD6">
        <w:trPr>
          <w:trHeight w:val="12"/>
        </w:trPr>
        <w:tc>
          <w:tcPr>
            <w:tcW w:w="3881" w:type="dxa"/>
            <w:hideMark/>
          </w:tcPr>
          <w:p w:rsidR="005E4CD6" w:rsidRPr="005E4CD6" w:rsidRDefault="005E4CD6" w:rsidP="005E4CD6">
            <w:pPr>
              <w:spacing w:after="0" w:line="240" w:lineRule="auto"/>
              <w:rPr>
                <w:rFonts w:ascii="Arial" w:eastAsia="Times New Roman" w:hAnsi="Arial" w:cs="Arial"/>
                <w:b/>
                <w:bCs/>
                <w:color w:val="242424"/>
                <w:spacing w:val="2"/>
                <w:sz w:val="31"/>
                <w:szCs w:val="31"/>
                <w:lang w:eastAsia="ru-RU"/>
              </w:rPr>
            </w:pPr>
          </w:p>
        </w:tc>
        <w:tc>
          <w:tcPr>
            <w:tcW w:w="3881"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3696"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881"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 этап</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 этап</w:t>
            </w:r>
          </w:p>
        </w:tc>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 этап</w:t>
            </w:r>
          </w:p>
        </w:tc>
      </w:tr>
      <w:tr w:rsidR="005E4CD6" w:rsidRPr="005E4CD6" w:rsidTr="005E4CD6">
        <w:tc>
          <w:tcPr>
            <w:tcW w:w="11458"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Удельная энергоемкость валового внутреннего продукта (в процентах к 2005 году)</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78 процентов</w:t>
            </w:r>
          </w:p>
        </w:tc>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57 процентов</w:t>
            </w:r>
          </w:p>
        </w:tc>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44 процентов</w:t>
            </w:r>
          </w:p>
        </w:tc>
      </w:tr>
      <w:tr w:rsidR="005E4CD6" w:rsidRPr="005E4CD6" w:rsidTr="005E4CD6">
        <w:tc>
          <w:tcPr>
            <w:tcW w:w="11458"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Создание дополнительного энергетического потенциала экономического развития</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100 млн.тонн условного топлива в год</w:t>
            </w:r>
          </w:p>
        </w:tc>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200 млн.тонн условного топлива в год</w:t>
            </w:r>
          </w:p>
        </w:tc>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300 млн.тонн условного топлива в год</w:t>
            </w:r>
          </w:p>
        </w:tc>
      </w:tr>
      <w:tr w:rsidR="005E4CD6" w:rsidRPr="005E4CD6" w:rsidTr="005E4CD6">
        <w:tc>
          <w:tcPr>
            <w:tcW w:w="11458"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Формирование высокотехнологического сегмента энергосервисных услуг в объеме</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w:t>
            </w:r>
            <w:r w:rsidRPr="005E4CD6">
              <w:rPr>
                <w:rFonts w:ascii="Times New Roman" w:eastAsia="Times New Roman" w:hAnsi="Times New Roman" w:cs="Times New Roman"/>
                <w:color w:val="2D2D2D"/>
                <w:sz w:val="21"/>
                <w:szCs w:val="21"/>
                <w:lang w:eastAsia="ru-RU"/>
              </w:rPr>
              <w:br/>
              <w:t>200 млрд.рублей в год</w:t>
            </w:r>
          </w:p>
        </w:tc>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w:t>
            </w:r>
            <w:r w:rsidRPr="005E4CD6">
              <w:rPr>
                <w:rFonts w:ascii="Times New Roman" w:eastAsia="Times New Roman" w:hAnsi="Times New Roman" w:cs="Times New Roman"/>
                <w:color w:val="2D2D2D"/>
                <w:sz w:val="21"/>
                <w:szCs w:val="21"/>
                <w:lang w:eastAsia="ru-RU"/>
              </w:rPr>
              <w:br/>
              <w:t>300 млрд.рублей в год</w:t>
            </w:r>
          </w:p>
        </w:tc>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w:t>
            </w:r>
            <w:r w:rsidRPr="005E4CD6">
              <w:rPr>
                <w:rFonts w:ascii="Times New Roman" w:eastAsia="Times New Roman" w:hAnsi="Times New Roman" w:cs="Times New Roman"/>
                <w:color w:val="2D2D2D"/>
                <w:sz w:val="21"/>
                <w:szCs w:val="21"/>
                <w:lang w:eastAsia="ru-RU"/>
              </w:rPr>
              <w:br/>
              <w:t>400 млрд.рублей в год</w:t>
            </w:r>
          </w:p>
        </w:tc>
      </w:tr>
      <w:tr w:rsidR="005E4CD6" w:rsidRPr="005E4CD6" w:rsidTr="005E4CD6">
        <w:tc>
          <w:tcPr>
            <w:tcW w:w="11458"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Среднее ежегодное снижение удельных потерь и расходов на собственные нужды на предприятиях ТЭК (в процентах к предыдущему году)</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1 процента</w:t>
            </w:r>
          </w:p>
        </w:tc>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1 процента</w:t>
            </w:r>
          </w:p>
        </w:tc>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0,5 процента</w:t>
            </w:r>
          </w:p>
        </w:tc>
      </w:tr>
      <w:tr w:rsidR="005E4CD6" w:rsidRPr="005E4CD6" w:rsidTr="005E4CD6">
        <w:tc>
          <w:tcPr>
            <w:tcW w:w="11458"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Снижение удельных расходов топлива на производство тепла котельными (в процентах к 2005 году)</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2 процентов</w:t>
            </w:r>
          </w:p>
        </w:tc>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6 процентов</w:t>
            </w:r>
          </w:p>
        </w:tc>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10 процентов</w:t>
            </w:r>
          </w:p>
        </w:tc>
      </w:tr>
    </w:tbl>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Индикаторы экономической и бюджетной эффективности энергетики</w:t>
      </w:r>
    </w:p>
    <w:tbl>
      <w:tblPr>
        <w:tblW w:w="0" w:type="auto"/>
        <w:tblCellMar>
          <w:left w:w="0" w:type="dxa"/>
          <w:right w:w="0" w:type="dxa"/>
        </w:tblCellMar>
        <w:tblLook w:val="04A0" w:firstRow="1" w:lastRow="0" w:firstColumn="1" w:lastColumn="0" w:noHBand="0" w:noVBand="1"/>
      </w:tblPr>
      <w:tblGrid>
        <w:gridCol w:w="2977"/>
        <w:gridCol w:w="3400"/>
        <w:gridCol w:w="2978"/>
      </w:tblGrid>
      <w:tr w:rsidR="005E4CD6" w:rsidRPr="005E4CD6" w:rsidTr="005E4CD6">
        <w:trPr>
          <w:trHeight w:val="12"/>
        </w:trPr>
        <w:tc>
          <w:tcPr>
            <w:tcW w:w="3696" w:type="dxa"/>
            <w:hideMark/>
          </w:tcPr>
          <w:p w:rsidR="005E4CD6" w:rsidRPr="005E4CD6" w:rsidRDefault="005E4CD6" w:rsidP="005E4CD6">
            <w:pPr>
              <w:spacing w:after="0" w:line="240" w:lineRule="auto"/>
              <w:rPr>
                <w:rFonts w:ascii="Arial" w:eastAsia="Times New Roman" w:hAnsi="Arial" w:cs="Arial"/>
                <w:b/>
                <w:bCs/>
                <w:color w:val="242424"/>
                <w:spacing w:val="2"/>
                <w:sz w:val="31"/>
                <w:szCs w:val="31"/>
                <w:lang w:eastAsia="ru-RU"/>
              </w:rPr>
            </w:pPr>
          </w:p>
        </w:tc>
        <w:tc>
          <w:tcPr>
            <w:tcW w:w="4250"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3696"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1-й этап</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 этап</w:t>
            </w:r>
          </w:p>
        </w:tc>
        <w:tc>
          <w:tcPr>
            <w:tcW w:w="369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 этап</w:t>
            </w:r>
          </w:p>
        </w:tc>
      </w:tr>
      <w:tr w:rsidR="005E4CD6" w:rsidRPr="005E4CD6" w:rsidTr="005E4CD6">
        <w:tc>
          <w:tcPr>
            <w:tcW w:w="11642"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Создание динамически устойчивой и предсказуемой институционально-правовой среды функционирования энергетического сектора</w:t>
            </w:r>
          </w:p>
        </w:tc>
      </w:tr>
      <w:tr w:rsidR="005E4CD6" w:rsidRPr="005E4CD6" w:rsidTr="005E4CD6">
        <w:tc>
          <w:tcPr>
            <w:tcW w:w="11642"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Гармонизация соотношения вклада ТЭК в налоговые поступления в бюджетную систему страны и в общий объем инвестиций в основной капитал, обеспечивающая финансово-экономическую устойчивость предприятий ТЭК при выполнении ими своих бюджетных обязательств</w:t>
            </w:r>
          </w:p>
        </w:tc>
      </w:tr>
    </w:tbl>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Индикаторы экологической безопасности энергетики</w:t>
      </w:r>
    </w:p>
    <w:tbl>
      <w:tblPr>
        <w:tblW w:w="0" w:type="auto"/>
        <w:tblCellMar>
          <w:left w:w="0" w:type="dxa"/>
          <w:right w:w="0" w:type="dxa"/>
        </w:tblCellMar>
        <w:tblLook w:val="04A0" w:firstRow="1" w:lastRow="0" w:firstColumn="1" w:lastColumn="0" w:noHBand="0" w:noVBand="1"/>
      </w:tblPr>
      <w:tblGrid>
        <w:gridCol w:w="3119"/>
        <w:gridCol w:w="3118"/>
        <w:gridCol w:w="3118"/>
      </w:tblGrid>
      <w:tr w:rsidR="005E4CD6" w:rsidRPr="005E4CD6" w:rsidTr="005E4CD6">
        <w:trPr>
          <w:trHeight w:val="12"/>
        </w:trPr>
        <w:tc>
          <w:tcPr>
            <w:tcW w:w="3881" w:type="dxa"/>
            <w:hideMark/>
          </w:tcPr>
          <w:p w:rsidR="005E4CD6" w:rsidRPr="005E4CD6" w:rsidRDefault="005E4CD6" w:rsidP="005E4CD6">
            <w:pPr>
              <w:spacing w:after="0" w:line="240" w:lineRule="auto"/>
              <w:rPr>
                <w:rFonts w:ascii="Arial" w:eastAsia="Times New Roman" w:hAnsi="Arial" w:cs="Arial"/>
                <w:b/>
                <w:bCs/>
                <w:color w:val="242424"/>
                <w:spacing w:val="2"/>
                <w:sz w:val="31"/>
                <w:szCs w:val="31"/>
                <w:lang w:eastAsia="ru-RU"/>
              </w:rPr>
            </w:pPr>
          </w:p>
        </w:tc>
        <w:tc>
          <w:tcPr>
            <w:tcW w:w="3881"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3881"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881"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 этап</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 этап</w:t>
            </w:r>
          </w:p>
        </w:tc>
        <w:tc>
          <w:tcPr>
            <w:tcW w:w="3881"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 этап</w:t>
            </w:r>
          </w:p>
        </w:tc>
      </w:tr>
      <w:tr w:rsidR="005E4CD6" w:rsidRPr="005E4CD6" w:rsidTr="005E4CD6">
        <w:tc>
          <w:tcPr>
            <w:tcW w:w="11642"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Снижение удельных показателей выбросов загрязняющих веществ в атмосферный воздух, сброса загрязненных сточных вод в водоемы, образования отходов предприятиями энергетического сектора</w:t>
            </w:r>
            <w:r w:rsidRPr="005E4CD6">
              <w:rPr>
                <w:rFonts w:ascii="Times New Roman" w:eastAsia="Times New Roman" w:hAnsi="Times New Roman" w:cs="Times New Roman"/>
                <w:color w:val="2D2D2D"/>
                <w:sz w:val="21"/>
                <w:szCs w:val="21"/>
                <w:lang w:eastAsia="ru-RU"/>
              </w:rPr>
              <w:br/>
              <w:t>(в процентах к 2005 году)</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25 процентов</w:t>
            </w:r>
          </w:p>
        </w:tc>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40 процентов</w:t>
            </w:r>
          </w:p>
        </w:tc>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50 процентов</w:t>
            </w:r>
          </w:p>
        </w:tc>
      </w:tr>
      <w:tr w:rsidR="005E4CD6" w:rsidRPr="005E4CD6" w:rsidTr="005E4CD6">
        <w:tc>
          <w:tcPr>
            <w:tcW w:w="11642"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Обеспечение уровня эмиссии парниковых газов (в процентах к 2005 году)</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83 процентов</w:t>
            </w:r>
          </w:p>
        </w:tc>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90 процентов</w:t>
            </w:r>
          </w:p>
        </w:tc>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105 процентов</w:t>
            </w:r>
          </w:p>
        </w:tc>
      </w:tr>
      <w:tr w:rsidR="005E4CD6" w:rsidRPr="005E4CD6" w:rsidTr="005E4CD6">
        <w:tc>
          <w:tcPr>
            <w:tcW w:w="11642"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Коэффициент утилизации попутного нефтяного газа</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95 процентов</w:t>
            </w:r>
          </w:p>
        </w:tc>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95 процентов</w:t>
            </w:r>
          </w:p>
        </w:tc>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95 процентов</w:t>
            </w:r>
          </w:p>
        </w:tc>
      </w:tr>
    </w:tbl>
    <w:p w:rsidR="005E4CD6" w:rsidRPr="005E4CD6" w:rsidRDefault="005E4CD6" w:rsidP="005E4CD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4CD6">
        <w:rPr>
          <w:rFonts w:ascii="Arial" w:eastAsia="Times New Roman" w:hAnsi="Arial" w:cs="Arial"/>
          <w:color w:val="4C4C4C"/>
          <w:spacing w:val="2"/>
          <w:sz w:val="38"/>
          <w:szCs w:val="38"/>
          <w:lang w:eastAsia="ru-RU"/>
        </w:rPr>
        <w:t>Приложение N 3. Индикаторы стратегического развития минерально-сырьевой базы топливно-энергетического комплекса на период до 2030 года</w:t>
      </w:r>
    </w:p>
    <w:p w:rsidR="005E4CD6" w:rsidRPr="005E4CD6" w:rsidRDefault="005E4CD6" w:rsidP="005E4C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Приложение N 3</w:t>
      </w:r>
      <w:r w:rsidRPr="005E4CD6">
        <w:rPr>
          <w:rFonts w:ascii="Arial" w:eastAsia="Times New Roman" w:hAnsi="Arial" w:cs="Arial"/>
          <w:color w:val="2D2D2D"/>
          <w:spacing w:val="2"/>
          <w:sz w:val="21"/>
          <w:szCs w:val="21"/>
          <w:lang w:eastAsia="ru-RU"/>
        </w:rPr>
        <w:br/>
        <w:t>к Энергетической стратегии России на период до 2030 года</w:t>
      </w:r>
    </w:p>
    <w:tbl>
      <w:tblPr>
        <w:tblW w:w="0" w:type="auto"/>
        <w:tblCellMar>
          <w:left w:w="0" w:type="dxa"/>
          <w:right w:w="0" w:type="dxa"/>
        </w:tblCellMar>
        <w:tblLook w:val="04A0" w:firstRow="1" w:lastRow="0" w:firstColumn="1" w:lastColumn="0" w:noHBand="0" w:noVBand="1"/>
      </w:tblPr>
      <w:tblGrid>
        <w:gridCol w:w="5093"/>
        <w:gridCol w:w="1356"/>
        <w:gridCol w:w="1515"/>
        <w:gridCol w:w="1391"/>
      </w:tblGrid>
      <w:tr w:rsidR="005E4CD6" w:rsidRPr="005E4CD6" w:rsidTr="005E4CD6">
        <w:trPr>
          <w:trHeight w:val="12"/>
        </w:trPr>
        <w:tc>
          <w:tcPr>
            <w:tcW w:w="6283" w:type="dxa"/>
            <w:hideMark/>
          </w:tcPr>
          <w:p w:rsidR="005E4CD6" w:rsidRPr="005E4CD6" w:rsidRDefault="005E4CD6" w:rsidP="005E4CD6">
            <w:pPr>
              <w:spacing w:after="0" w:line="240" w:lineRule="auto"/>
              <w:rPr>
                <w:rFonts w:ascii="Arial" w:eastAsia="Times New Roman" w:hAnsi="Arial" w:cs="Arial"/>
                <w:color w:val="2D2D2D"/>
                <w:spacing w:val="2"/>
                <w:sz w:val="21"/>
                <w:szCs w:val="21"/>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6283"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Индикаторы/направления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 этап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 этап</w:t>
            </w: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 этап</w:t>
            </w:r>
          </w:p>
        </w:tc>
      </w:tr>
      <w:tr w:rsidR="005E4CD6" w:rsidRPr="005E4CD6" w:rsidTr="005E4CD6">
        <w:tc>
          <w:tcPr>
            <w:tcW w:w="11458" w:type="dxa"/>
            <w:gridSpan w:val="4"/>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Прирост запасов нефти (млн.тонн)</w:t>
            </w: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Российская Федерация - всего</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1854</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5597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5122</w:t>
            </w: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Западно-Сибирская провинция</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1205</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2500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2500</w:t>
            </w: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Восточная Сибирь</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165</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1200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1200</w:t>
            </w: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Европейский Север</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91</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330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w:t>
            </w:r>
          </w:p>
        </w:tc>
      </w:tr>
      <w:tr w:rsidR="005E4CD6" w:rsidRPr="005E4CD6" w:rsidTr="005E4CD6">
        <w:tc>
          <w:tcPr>
            <w:tcW w:w="11458" w:type="dxa"/>
            <w:gridSpan w:val="4"/>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Прирост запасов природного газа (млрд.куб.м)</w:t>
            </w: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Российская Федерация - всего</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4100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5400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6500</w:t>
            </w: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Западная Сибирь</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1200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2100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3000</w:t>
            </w: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Восточная Сибирь</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480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1400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1200</w:t>
            </w: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моря России</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350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1700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2000</w:t>
            </w:r>
          </w:p>
        </w:tc>
      </w:tr>
      <w:tr w:rsidR="005E4CD6" w:rsidRPr="005E4CD6" w:rsidTr="005E4CD6">
        <w:tc>
          <w:tcPr>
            <w:tcW w:w="11458" w:type="dxa"/>
            <w:gridSpan w:val="4"/>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Объемы глубокого бурения (тыс.метров)</w:t>
            </w: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Российская Федерация - всего</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7350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24100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39850</w:t>
            </w: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Западная Сибирь</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3300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12250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2300</w:t>
            </w: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Тимано-Печорская провинция</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700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1600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1800</w:t>
            </w: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Восточная Сибирь</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1250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3300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6100</w:t>
            </w: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моря России</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850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2150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3200</w:t>
            </w:r>
          </w:p>
        </w:tc>
      </w:tr>
      <w:tr w:rsidR="005E4CD6" w:rsidRPr="005E4CD6" w:rsidTr="005E4CD6">
        <w:tc>
          <w:tcPr>
            <w:tcW w:w="11458" w:type="dxa"/>
            <w:gridSpan w:val="4"/>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Объемы сейсморазведки (тыс.км)</w:t>
            </w: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Российская Федерация - всего</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730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1180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1500</w:t>
            </w: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Западная Сибирь</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240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350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500</w:t>
            </w: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Восточная Сибирь</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270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350</w:t>
            </w: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моря России</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350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500</w:t>
            </w:r>
          </w:p>
        </w:tc>
      </w:tr>
      <w:tr w:rsidR="005E4CD6" w:rsidRPr="005E4CD6" w:rsidTr="005E4CD6">
        <w:tc>
          <w:tcPr>
            <w:tcW w:w="11458" w:type="dxa"/>
            <w:gridSpan w:val="4"/>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Прирост запасов угля (процентов)</w:t>
            </w: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Среднегодовые темпы роста</w:t>
            </w:r>
            <w:r w:rsidRPr="005E4CD6">
              <w:rPr>
                <w:rFonts w:ascii="Times New Roman" w:eastAsia="Times New Roman" w:hAnsi="Times New Roman" w:cs="Times New Roman"/>
                <w:color w:val="2D2D2D"/>
                <w:sz w:val="21"/>
                <w:szCs w:val="21"/>
                <w:lang w:eastAsia="ru-RU"/>
              </w:rPr>
              <w:br/>
              <w:t>балансовых запасов</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0,5-0,8</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2-3</w:t>
            </w:r>
          </w:p>
        </w:tc>
      </w:tr>
      <w:tr w:rsidR="005E4CD6" w:rsidRPr="005E4CD6" w:rsidTr="005E4CD6">
        <w:tc>
          <w:tcPr>
            <w:tcW w:w="628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Доля балансовых запасов угля, экономически эффективных для извлечения согласно мировым стандартам</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48-50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55-58</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60-65</w:t>
            </w:r>
          </w:p>
        </w:tc>
      </w:tr>
      <w:tr w:rsidR="005E4CD6" w:rsidRPr="005E4CD6" w:rsidTr="005E4CD6">
        <w:tc>
          <w:tcPr>
            <w:tcW w:w="11458" w:type="dxa"/>
            <w:gridSpan w:val="4"/>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Прирост запасов и ресурсов урана</w:t>
            </w:r>
          </w:p>
        </w:tc>
      </w:tr>
      <w:tr w:rsidR="005E4CD6" w:rsidRPr="005E4CD6" w:rsidTr="005E4CD6">
        <w:tc>
          <w:tcPr>
            <w:tcW w:w="11458" w:type="dxa"/>
            <w:gridSpan w:val="4"/>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Обеспечение прироста запасов к 2030 году в объеме (тыс.тонн):</w:t>
            </w:r>
            <w:r w:rsidRPr="005E4CD6">
              <w:rPr>
                <w:rFonts w:ascii="Times New Roman" w:eastAsia="Times New Roman" w:hAnsi="Times New Roman" w:cs="Times New Roman"/>
                <w:color w:val="2D2D2D"/>
                <w:sz w:val="21"/>
                <w:szCs w:val="21"/>
                <w:lang w:eastAsia="ru-RU"/>
              </w:rPr>
              <w:br/>
              <w:t>С</w:t>
            </w:r>
            <w:r w:rsidRPr="005E4CD6">
              <w:rPr>
                <w:rFonts w:ascii="Times New Roman" w:eastAsia="Times New Roman" w:hAnsi="Times New Roman" w:cs="Times New Roman"/>
                <w:noProof/>
                <w:color w:val="2D2D2D"/>
                <w:sz w:val="21"/>
                <w:szCs w:val="21"/>
                <w:lang w:eastAsia="ru-RU"/>
              </w:rPr>
              <mc:AlternateContent>
                <mc:Choice Requires="wps">
                  <w:drawing>
                    <wp:inline distT="0" distB="0" distL="0" distR="0" wp14:anchorId="43414598" wp14:editId="21A6983F">
                      <wp:extent cx="82550" cy="222250"/>
                      <wp:effectExtent l="0" t="0" r="0" b="0"/>
                      <wp:docPr id="6" name="AutoShape 6" descr="Об утверждении Энергетической стратегии России на период до 203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FB292" id="AutoShape 6" o:spid="_x0000_s1026" alt="Об утверждении Энергетической стратегии России на период до 2030 года"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zKQMAADwGAAAOAAAAZHJzL2Uyb0RvYy54bWysVN1u2zYUvi+wdyB4r+gnsmMJUYrEjosC&#10;6Rqg6wPQEmURk0iNZKKkRYEmu+hbDHuBAunaFOmAZq9Av9EOKdtxkpthmy4o8pzD7/x9PLtPz5oa&#10;nVKpmOAZDrcCjCjPRcH4PMOvf5p6I4yUJrwgteA0w+dU4ad7PzzZ7dqURqISdUElAhCu0q7NcKV1&#10;m/q+yivaELUlWspBWQrZEA1HOfcLSTpAb2o/CoKh3wlZtFLkVCmQTnol3nP4ZUlz/bIsFdWozjDE&#10;pt0q3Tqzq7+3S9K5JG3F8mUY5F9E0RDGwekaakI0QSeSPYJqWC6FEqXeykXji7JkOXU5QDZh8CCb&#10;VxVpqcsFiqPadZnU/web/3h6LBErMjzEiJMGWrR/ooXzjEBUUJVDucxv5hNa/Lq4NH+Y68V789V8&#10;Mdfmu7kxN8h8hI0Vfob10twsPsD/wvxpbs03tLhYXILqChTXYODsfze3IL7oD9/NFTJ/ufs3cOML&#10;AuRbFAXbAQJ7EJgr26SuVSnE+qo9lrbMqj0S+c8KcTGuCJ/TfdVCq4GAkMRKJKXoKkoKqFZoIfx7&#10;GPagAA3NuheigLQJpO1aeFbKxvqA5qAzx5TzNVPomUY5CEfRYAB0ykETwQd764Ckq7utVPoZFQ2y&#10;mwxLCM5hk9MjpXvTlYl1xcWU1TXISVrzewLA7CXgGa5anY3BUettEiSHo8NR7MXR8NCLg8nE25+O&#10;Y284DXcGk+3JeDwJ31m/YZxWrCgot25WNA/jf0aj5YPrCbomuhI1KyycDUnJ+WxcS3RK4JlN3bcs&#10;yIaZfz8MVy/I5UFKYRQHB1HiTYejHS+exgMv2QlGXhAmB8kwiJN4Mr2f0hHj9L+nhLoMJ4No4Lq0&#10;EfSD3AL3Pc6NpA3TMMhq1gA51kYktQQ85IVrrSas7vcbpbDh35UC2r1qtKOrZWhP/pkozoGtUgCd&#10;gHkwcmFTCfkGow7GV4bVLydEUozq5xwYn4RxbOedO8SDnQgOclMz29QQngNUhjVG/Xas+xl50ko2&#10;r8BT6ArDhR0OJXMUti+oj2r5tmBEuUyW49TOwM2zs7ob+nt/AwAA//8DAFBLAwQUAAYACAAAACEA&#10;g3RHyNoAAAADAQAADwAAAGRycy9kb3ducmV2LnhtbEyPQUvDQBCF74L/YRnBi9iNFkViJkUKYhGh&#10;NNWep9kxCWZn0+w2if/erRe9PHi84b1vssVkWzVw7xsnCDezBBRL6UwjFcL79vn6AZQPJIZaJ4zw&#10;zR4W+flZRqlxo2x4KEKlYon4lBDqELpUa1/WbMnPXMcSs0/XWwrR9pU2PY2x3Lb6NknutaVG4kJN&#10;HS9rLr+Ko0UYy/Ww27696PXVbuXksDosi49XxMuL6ekRVOAp/B3DCT+iQx6Z9u4oxqsWIT4SfvWU&#10;zaPbI8zvEtB5pv+z5z8AAAD//wMAUEsBAi0AFAAGAAgAAAAhALaDOJL+AAAA4QEAABMAAAAAAAAA&#10;AAAAAAAAAAAAAFtDb250ZW50X1R5cGVzXS54bWxQSwECLQAUAAYACAAAACEAOP0h/9YAAACUAQAA&#10;CwAAAAAAAAAAAAAAAAAvAQAAX3JlbHMvLnJlbHNQSwECLQAUAAYACAAAACEAYjv4cykDAAA8BgAA&#10;DgAAAAAAAAAAAAAAAAAuAgAAZHJzL2Uyb0RvYy54bWxQSwECLQAUAAYACAAAACEAg3RHyNoAAAAD&#10;AQAADwAAAAAAAAAAAAAAAACDBQAAZHJzL2Rvd25yZXYueG1sUEsFBgAAAAAEAAQA8wAAAIoGAAAA&#10;AA==&#10;" filled="f" stroked="f">
                      <o:lock v:ext="edit" aspectratio="t"/>
                      <w10:anchorlock/>
                    </v:rect>
                  </w:pict>
                </mc:Fallback>
              </mc:AlternateContent>
            </w:r>
            <w:r w:rsidRPr="005E4CD6">
              <w:rPr>
                <w:rFonts w:ascii="Times New Roman" w:eastAsia="Times New Roman" w:hAnsi="Times New Roman" w:cs="Times New Roman"/>
                <w:color w:val="2D2D2D"/>
                <w:sz w:val="21"/>
                <w:szCs w:val="21"/>
                <w:lang w:eastAsia="ru-RU"/>
              </w:rPr>
              <w:t> - 150, С2 - 300; прогнозных ресурсов - Р</w:t>
            </w:r>
            <w:r w:rsidRPr="005E4CD6">
              <w:rPr>
                <w:rFonts w:ascii="Times New Roman" w:eastAsia="Times New Roman" w:hAnsi="Times New Roman" w:cs="Times New Roman"/>
                <w:noProof/>
                <w:color w:val="2D2D2D"/>
                <w:sz w:val="21"/>
                <w:szCs w:val="21"/>
                <w:lang w:eastAsia="ru-RU"/>
              </w:rPr>
              <mc:AlternateContent>
                <mc:Choice Requires="wps">
                  <w:drawing>
                    <wp:inline distT="0" distB="0" distL="0" distR="0" wp14:anchorId="3A17A0FA" wp14:editId="1ABDA88C">
                      <wp:extent cx="82550" cy="222250"/>
                      <wp:effectExtent l="0" t="0" r="0" b="0"/>
                      <wp:docPr id="5" name="AutoShape 7" descr="Об утверждении Энергетической стратегии России на период до 203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31CA18" id="AutoShape 7" o:spid="_x0000_s1026" alt="Об утверждении Энергетической стратегии России на период до 2030 года"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LkKwMAADwGAAAOAAAAZHJzL2Uyb0RvYy54bWysVF1u3DYQfi+QOxB8l/UT7Y8Ey4az6w0C&#10;OE2ANAfgStSKqESqJG3ZDQLE7kNuUfQCAZwmDpwAdq7AvVGG1O5m7bwUbfVAkTPDmflmPs7u/mlT&#10;oxMqFRM8w+FOgBHluSgYX2T45S8zb4yR0oQXpBacZviMKry/9+Cn3a5NaSQqURdUInDCVdq1Ga60&#10;blPfV3lFG6J2REs5KEshG6LhKBd+IUkH3pvaj4Jg6HdCFq0UOVUKpNNeifec/7KkuX5WlopqVGcY&#10;ctNulW6d29Xf2yXpQpK2YvkqDfIvsmgI4xB042pKNEHHkv3gqmG5FEqUeicXjS/KkuXUYQA0YXAP&#10;zYuKtNRhgeKodlMm9f+5zX8+eS4RKzI8wIiTBlp0cKyFi4xGGBVU5VAu86d5j5Z/LC/M3+Zq+cZ8&#10;Mh/Nlbkx1+YamXewscIPsF6Y6+Vb+J+bL+bWfEbL8+UFqC5BcQUGzv4vcwvi8/5wYy6R+eruX8ON&#10;jwg836IoeBggsAeBubRN6lqVQq4v2ufSllm1RyL/VSEuJhXhC3qgWmg1EBBArEVSiq6ipIBqhdaF&#10;f8eHPSjwhubdU1EAbAKwXQtPS9nYGNAcdOqYcrZhCj3VKAfhOBoMgE45aCL4YG8DkHR9t5VKP6ai&#10;QXaTYQnJOd/k5Ejp3nRtYkNxMWN1DXKS1vyOAHz2EogMV63O5uCo9SoJksPx4Tj24mh46MXBdOod&#10;zCaxN5yFo8H04XQymYavbdwwTitWFJTbMGuah/E/o9HqwfUE3RBdiZoV1p1NScnFfFJLdELgmc3c&#10;tyrIlpl/Nw1XL8ByD1IYxcGjKPFmw/HIi2fxwEtGwdgLwuRRMgziJJ7O7kI6Ypz+d0ioy3AyiAau&#10;S1tJ38MWuO9HbCRtmIZBVrMGyLExIqkl4CEvXGs1YXW/3yqFTf97KaDd60Y7ulqG9uSfi+IM2CoF&#10;0AmYByMXNpWQv2PUwfjKsPrtmEiKUf2EA+OTMI7tvHOHeDCK4CC3NfNtDeE5uMqwxqjfTnQ/I49b&#10;yRYVRApdYbiww6FkjsL2BfVZrd4WjCiHZDVO7QzcPjur70N/7xsAAAD//wMAUEsDBBQABgAIAAAA&#10;IQCDdEfI2gAAAAMBAAAPAAAAZHJzL2Rvd25yZXYueG1sTI9BS8NAEIXvgv9hGcGL2I0WRWImRQpi&#10;EaE01Z6n2TEJZmfT7DaJ/96tF708eLzhvW+yxWRbNXDvGycIN7MEFEvpTCMVwvv2+foBlA8khlon&#10;jPDNHhb5+VlGqXGjbHgoQqViifiUEOoQulRrX9Zsyc9cxxKzT9dbCtH2lTY9jbHctvo2Se61pUbi&#10;Qk0dL2suv4qjRRjL9bDbvr3o9dVu5eSwOiyLj1fEy4vp6RFU4Cn8HcMJP6JDHpn27ijGqxYhPhJ+&#10;9ZTNo9sjzO8S0Hmm/7PnPwAAAP//AwBQSwECLQAUAAYACAAAACEAtoM4kv4AAADhAQAAEwAAAAAA&#10;AAAAAAAAAAAAAAAAW0NvbnRlbnRfVHlwZXNdLnhtbFBLAQItABQABgAIAAAAIQA4/SH/1gAAAJQB&#10;AAALAAAAAAAAAAAAAAAAAC8BAABfcmVscy8ucmVsc1BLAQItABQABgAIAAAAIQBV4SLkKwMAADwG&#10;AAAOAAAAAAAAAAAAAAAAAC4CAABkcnMvZTJvRG9jLnhtbFBLAQItABQABgAIAAAAIQCDdEfI2gAA&#10;AAMBAAAPAAAAAAAAAAAAAAAAAIUFAABkcnMvZG93bnJldi54bWxQSwUGAAAAAAQABADzAAAAjAYA&#10;AAAA&#10;" filled="f" stroked="f">
                      <o:lock v:ext="edit" aspectratio="t"/>
                      <w10:anchorlock/>
                    </v:rect>
                  </w:pict>
                </mc:Fallback>
              </mc:AlternateContent>
            </w:r>
            <w:r w:rsidRPr="005E4CD6">
              <w:rPr>
                <w:rFonts w:ascii="Times New Roman" w:eastAsia="Times New Roman" w:hAnsi="Times New Roman" w:cs="Times New Roman"/>
                <w:color w:val="2D2D2D"/>
                <w:sz w:val="21"/>
                <w:szCs w:val="21"/>
                <w:lang w:eastAsia="ru-RU"/>
              </w:rPr>
              <w:t> - 1200, Р</w:t>
            </w:r>
            <w:r w:rsidRPr="005E4CD6">
              <w:rPr>
                <w:rFonts w:ascii="Times New Roman" w:eastAsia="Times New Roman" w:hAnsi="Times New Roman" w:cs="Times New Roman"/>
                <w:noProof/>
                <w:color w:val="2D2D2D"/>
                <w:sz w:val="21"/>
                <w:szCs w:val="21"/>
                <w:lang w:eastAsia="ru-RU"/>
              </w:rPr>
              <mc:AlternateContent>
                <mc:Choice Requires="wps">
                  <w:drawing>
                    <wp:inline distT="0" distB="0" distL="0" distR="0" wp14:anchorId="3787589C" wp14:editId="35E132B0">
                      <wp:extent cx="101600" cy="222250"/>
                      <wp:effectExtent l="0" t="0" r="0" b="0"/>
                      <wp:docPr id="4" name="AutoShape 8" descr="Об утверждении Энергетической стратегии России на период до 203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F45DF" id="AutoShape 8" o:spid="_x0000_s1026" alt="Об утверждении Энергетической стратегии России на период до 2030 года"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4FKwMAAD0GAAAOAAAAZHJzL2Uyb0RvYy54bWysVN1u1DoQvkfiHSzfp/khu91ETVHZ7R4d&#10;qfxIwAN4E2djkdjBdpsWhETLBW+BeAGk8lNUkCiv4H0jxk53uy036Bxy4dgz45n5Zj7P1t3DpkYH&#10;VComeIbDjQAjynNRMD7P8NMnU2+EkdKEF6QWnGb4iCp8d/v2ra2uTWkkKlEXVCJwwlXatRmutG5T&#10;31d5RRuiNkRLOShLIRui4SjnfiFJB96b2o+CYOh3QhatFDlVCqSTXom3nf+ypLl+WJaKalRnGHLT&#10;bpVundnV394i6VyStmL5ZRrkP2TREMYh6MrVhGiC9iX7zVXDcimUKPVGLhpflCXLqcMAaMLgBprH&#10;FWmpwwLFUe2qTOrvuc0fHDySiBUZjjHipIEW7exr4SIj6F1BVQ7lMu/MR7R4szgxn8zZ4rX5ar6Y&#10;M/PDnJtzZD7Axgo/w3pizhdv4X9svpsL8w0tjhcnoDoFxRkYOPv35gLEx/3hhzlF5qe7fw43viDw&#10;fIGi4E6AwB4E5tQ2qWtVCrk+bh9JW2bV7on8mUJcjCvC53RHtdBqICCAWIqkFF1FSQHVCq0L/5oP&#10;e1DgDc26+6IA2ARguxYelrKxMaA56NAx5WjFFHqoUQ7CMAiHAfApB1UE38AxySfp8nIrlf6HigbZ&#10;TYYlZOeck4M9pW0yJF2a2FhcTFldOzLW/JoADHsJhIarVmeTcNx6mQTJ7mh3FHtxNNz14mAy8Xam&#10;49gbTsPNweTOZDyehK9s3DBOK1YUlNswS56H8Z/x6PLF9QxdMV2JmhXWnU1JyflsXEt0QOCdTd3n&#10;Sg6aKzP/ehquCIDlBqQwioN7UeJNh6NNL57GAy/ZDEZeECb3kmEQJ/Fkeh3SHuP0/0NCXYaTQTRw&#10;XVpL+ga2wH2/YyNpwzRMspo1GR6tjEhqGbjLC9daTVjd79dKYdO/KgW0e9lox1dL0Z79M1EcAV2l&#10;ADoB82DmwqYS8gVGHcyvDKvn+0RSjOp/OVA+CePYDjx3iAebERzkuma2riE8B1cZ1hj127Huh+R+&#10;K9m8gkihKwwXdjqUzFHYPqE+q8vHBTPKIbmcp3YIrp+d1dXU3/4FAAD//wMAUEsDBBQABgAIAAAA&#10;IQDqfSXP2gAAAAMBAAAPAAAAZHJzL2Rvd25yZXYueG1sTI9BS8NAEIXvgv9hGcGL2I2KRWImRQpi&#10;EaE01Z632TEJZmfT7DaJ/96pF708eLzhvW+yxeRaNVAfGs8IN7MEFHHpbcMVwvv2+foBVIiGrWk9&#10;E8I3BVjk52eZSa0feUNDESslJRxSg1DH2KVah7ImZ8LMd8SSffremSi2r7TtzSjlrtW3STLXzjQs&#10;C7XpaFlT+VUcHcJYrofd9u1Fr692K8+H1WFZfLwiXl5MT4+gIk3x7xhO+IIOuTDt/ZFtUC2CPBJ/&#10;9ZTNxe0R7u4T0Hmm/7PnPwAAAP//AwBQSwECLQAUAAYACAAAACEAtoM4kv4AAADhAQAAEwAAAAAA&#10;AAAAAAAAAAAAAAAAW0NvbnRlbnRfVHlwZXNdLnhtbFBLAQItABQABgAIAAAAIQA4/SH/1gAAAJQB&#10;AAALAAAAAAAAAAAAAAAAAC8BAABfcmVscy8ucmVsc1BLAQItABQABgAIAAAAIQBXdL4FKwMAAD0G&#10;AAAOAAAAAAAAAAAAAAAAAC4CAABkcnMvZTJvRG9jLnhtbFBLAQItABQABgAIAAAAIQDqfSXP2gAA&#10;AAMBAAAPAAAAAAAAAAAAAAAAAIUFAABkcnMvZG93bnJldi54bWxQSwUGAAAAAAQABADzAAAAjAYA&#10;AAAA&#10;" filled="f" stroked="f">
                      <o:lock v:ext="edit" aspectratio="t"/>
                      <w10:anchorlock/>
                    </v:rect>
                  </w:pict>
                </mc:Fallback>
              </mc:AlternateContent>
            </w:r>
            <w:r w:rsidRPr="005E4CD6">
              <w:rPr>
                <w:rFonts w:ascii="Times New Roman" w:eastAsia="Times New Roman" w:hAnsi="Times New Roman" w:cs="Times New Roman"/>
                <w:color w:val="2D2D2D"/>
                <w:sz w:val="21"/>
                <w:szCs w:val="21"/>
                <w:lang w:eastAsia="ru-RU"/>
              </w:rPr>
              <w:t> - 2000, Р</w:t>
            </w:r>
            <w:r w:rsidRPr="005E4CD6">
              <w:rPr>
                <w:rFonts w:ascii="Times New Roman" w:eastAsia="Times New Roman" w:hAnsi="Times New Roman" w:cs="Times New Roman"/>
                <w:noProof/>
                <w:color w:val="2D2D2D"/>
                <w:sz w:val="21"/>
                <w:szCs w:val="21"/>
                <w:lang w:eastAsia="ru-RU"/>
              </w:rPr>
              <mc:AlternateContent>
                <mc:Choice Requires="wps">
                  <w:drawing>
                    <wp:inline distT="0" distB="0" distL="0" distR="0" wp14:anchorId="5E5F1E94" wp14:editId="3E5AE46A">
                      <wp:extent cx="101600" cy="228600"/>
                      <wp:effectExtent l="0" t="0" r="0" b="0"/>
                      <wp:docPr id="3" name="AutoShape 9" descr="Об утверждении Энергетической стратегии России на период до 203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164D6" id="AutoShape 9" o:spid="_x0000_s1026" alt="Об утверждении Энергетической стратегии России на период до 2030 года" style="width: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dpKwMAAD0GAAAOAAAAZHJzL2Uyb0RvYy54bWysVN1u1DoQvkfiHSzfp/lpdruJmqKy20VI&#10;PYDEOQ/gTZyNRWIH221aENJpueAtEC+AVM6hRz1IlFfwvhFjZ3fZlhsE5MKxZ8Yz8818nt17J02N&#10;jqlUTPAMh1sBRpTnomB8nuG//px6I4yUJrwgteA0w6dU4Xt7d+/sdm1KI1GJuqASgROu0q7NcKV1&#10;m/q+yivaELUlWspBWQrZEA1HOfcLSTrw3tR+FARDvxOyaKXIqVIgnfRKvOf8lyXN9eOyVFSjOsOQ&#10;m3ardOvMrv7eLknnkrQVy5dpkJ/IoiGMQ9C1qwnRBB1J9p2rhuVSKFHqrVw0vihLllOHAdCEwS00&#10;TyvSUocFiqPadZnU73ObPzp+IhErMryNEScNtGj/SAsXGSUYFVTlUC7z1nxAi9eLc/OPuVz8bf4z&#10;H82l+WyuzBUy72Fjhf/Cem6uFm/gf2Y+mWvzP1qcLc5BdQGKSzBw9u/MNYjP+sNnc4HMF3f/Cm58&#10;ROD5GkXBdoDAHgTmwjapa1UKuT5tn0hbZtUeivyZQlyMK8LndF+10GogIIBYiaQUXUVJAdUKrQv/&#10;hg97UOANzbo/RAGwCcB2LTwpZWNjQHPQiWPK6Zop9ESjHIRhEA4D4FMOqiga2b2NQNLV5VYq/YCK&#10;BtlNhiVk55yT40Ole9OViY3FxZTVNchJWvMbAvDZSyA0XLU6m4Tj1sskSA5GB6PYi6PhgRcHk4m3&#10;Px3H3nAa7gwm25PxeBK+snHDOK1YUVBuw6x4HsY/xqPli+sZuma6EjUrrDubkpLz2biW6JjAO5u6&#10;b1mQDTP/ZhquXoDlFqQwioP7UeJNh6MdL57GAy/ZCUZeECb3k2EQJ/FkehPSIeP01yGhLsPJIBq4&#10;Lm0kfQtb4L7vsZG0YRomWc2aDI/WRiS1DDzghWutJqzu9xulsOl/KwW0e9Vox1dL0Z79M1GcAl2l&#10;ADoB82DmwqYS8gVGHcyvDKvnR0RSjOqHHCifhHFsB547xIOdCA5yUzPb1BCeg6sMa4z67Vj3Q/Ko&#10;lWxeQaTQFYYLOx1K5ihsn1Cf1fJxwYxySJbz1A7BzbOz+jb1974CAAD//wMAUEsDBBQABgAIAAAA&#10;IQAgMIxg2QAAAAMBAAAPAAAAZHJzL2Rvd25yZXYueG1sTI9BS8NAEIXvgv9hGcGL2I0KRWImRQpi&#10;EaE01Z632TEJZmfT7DaJ/75TL3qZ4fGGN9/LFpNr1UB9aDwj3M0SUMSltw1XCB/bl9tHUCEatqb1&#10;TAg/FGCRX15kJrV+5A0NRayUhHBIDUIdY5dqHcqanAkz3xGL9+V7Z6LIvtK2N6OEu1bfJ8lcO9Ow&#10;fKhNR8uayu/i6BDGcj3stu+ven2zW3k+rA7L4vMN8fpqen4CFWmKf8dwxhd0yIVp749sg2oRpEj8&#10;nWdvLmqP8CBb55n+z56fAAAA//8DAFBLAQItABQABgAIAAAAIQC2gziS/gAAAOEBAAATAAAAAAAA&#10;AAAAAAAAAAAAAABbQ29udGVudF9UeXBlc10ueG1sUEsBAi0AFAAGAAgAAAAhADj9If/WAAAAlAEA&#10;AAsAAAAAAAAAAAAAAAAALwEAAF9yZWxzLy5yZWxzUEsBAi0AFAAGAAgAAAAhANCEp2krAwAAPQYA&#10;AA4AAAAAAAAAAAAAAAAALgIAAGRycy9lMm9Eb2MueG1sUEsBAi0AFAAGAAgAAAAhACAwjGDZAAAA&#10;AwEAAA8AAAAAAAAAAAAAAAAAhQUAAGRycy9kb3ducmV2LnhtbFBLBQYAAAAABAAEAPMAAACLBgAA&#10;AAA=&#10;" filled="f" stroked="f">
                      <o:lock v:ext="edit" aspectratio="t"/>
                      <w10:anchorlock/>
                    </v:rect>
                  </w:pict>
                </mc:Fallback>
              </mc:AlternateContent>
            </w:r>
            <w:r w:rsidRPr="005E4CD6">
              <w:rPr>
                <w:rFonts w:ascii="Times New Roman" w:eastAsia="Times New Roman" w:hAnsi="Times New Roman" w:cs="Times New Roman"/>
                <w:color w:val="2D2D2D"/>
                <w:sz w:val="21"/>
                <w:szCs w:val="21"/>
                <w:lang w:eastAsia="ru-RU"/>
              </w:rPr>
              <w:t> - 1700</w:t>
            </w:r>
          </w:p>
        </w:tc>
      </w:tr>
    </w:tbl>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Индикаторы стратегического развития нефтяного комплекса на период до 2030 года</w:t>
      </w:r>
    </w:p>
    <w:tbl>
      <w:tblPr>
        <w:tblW w:w="0" w:type="auto"/>
        <w:tblCellMar>
          <w:left w:w="0" w:type="dxa"/>
          <w:right w:w="0" w:type="dxa"/>
        </w:tblCellMar>
        <w:tblLook w:val="04A0" w:firstRow="1" w:lastRow="0" w:firstColumn="1" w:lastColumn="0" w:noHBand="0" w:noVBand="1"/>
      </w:tblPr>
      <w:tblGrid>
        <w:gridCol w:w="4265"/>
        <w:gridCol w:w="1378"/>
        <w:gridCol w:w="1197"/>
        <w:gridCol w:w="1197"/>
        <w:gridCol w:w="1318"/>
      </w:tblGrid>
      <w:tr w:rsidR="005E4CD6" w:rsidRPr="005E4CD6" w:rsidTr="005E4CD6">
        <w:trPr>
          <w:trHeight w:val="12"/>
        </w:trPr>
        <w:tc>
          <w:tcPr>
            <w:tcW w:w="5174" w:type="dxa"/>
            <w:hideMark/>
          </w:tcPr>
          <w:p w:rsidR="005E4CD6" w:rsidRPr="005E4CD6" w:rsidRDefault="005E4CD6" w:rsidP="005E4CD6">
            <w:pPr>
              <w:spacing w:after="0" w:line="240" w:lineRule="auto"/>
              <w:rPr>
                <w:rFonts w:ascii="Arial" w:eastAsia="Times New Roman" w:hAnsi="Arial" w:cs="Arial"/>
                <w:b/>
                <w:bCs/>
                <w:color w:val="242424"/>
                <w:spacing w:val="2"/>
                <w:sz w:val="31"/>
                <w:szCs w:val="31"/>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517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Индикаторы/направления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2008 год (факт)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w:t>
            </w:r>
            <w:r w:rsidRPr="005E4CD6">
              <w:rPr>
                <w:rFonts w:ascii="Times New Roman" w:eastAsia="Times New Roman" w:hAnsi="Times New Roman" w:cs="Times New Roman"/>
                <w:color w:val="2D2D2D"/>
                <w:sz w:val="21"/>
                <w:szCs w:val="21"/>
                <w:lang w:eastAsia="ru-RU"/>
              </w:rPr>
              <w:br/>
              <w:t>этап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w:t>
            </w:r>
            <w:r w:rsidRPr="005E4CD6">
              <w:rPr>
                <w:rFonts w:ascii="Times New Roman" w:eastAsia="Times New Roman" w:hAnsi="Times New Roman" w:cs="Times New Roman"/>
                <w:color w:val="2D2D2D"/>
                <w:sz w:val="21"/>
                <w:szCs w:val="21"/>
                <w:lang w:eastAsia="ru-RU"/>
              </w:rPr>
              <w:br/>
              <w:t>этап</w:t>
            </w: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w:t>
            </w:r>
            <w:r w:rsidRPr="005E4CD6">
              <w:rPr>
                <w:rFonts w:ascii="Times New Roman" w:eastAsia="Times New Roman" w:hAnsi="Times New Roman" w:cs="Times New Roman"/>
                <w:color w:val="2D2D2D"/>
                <w:sz w:val="21"/>
                <w:szCs w:val="21"/>
                <w:lang w:eastAsia="ru-RU"/>
              </w:rPr>
              <w:br/>
              <w:t>этап</w:t>
            </w:r>
          </w:p>
        </w:tc>
      </w:tr>
      <w:tr w:rsidR="005E4CD6" w:rsidRPr="005E4CD6" w:rsidTr="005E4CD6">
        <w:tc>
          <w:tcPr>
            <w:tcW w:w="11458"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Эффективность недропользования</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Коэффициент извлечения нефти</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30-32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32-35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35-37</w:t>
            </w:r>
          </w:p>
        </w:tc>
      </w:tr>
      <w:tr w:rsidR="005E4CD6" w:rsidRPr="005E4CD6" w:rsidTr="005E4CD6">
        <w:tc>
          <w:tcPr>
            <w:tcW w:w="11458"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Добыча нефти</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Доля Восточной Сибири и Дальнего Востока в добыче нефти (процентов)</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10-12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12-14</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18-19</w:t>
            </w:r>
          </w:p>
        </w:tc>
      </w:tr>
      <w:tr w:rsidR="005E4CD6" w:rsidRPr="005E4CD6" w:rsidTr="005E4CD6">
        <w:tc>
          <w:tcPr>
            <w:tcW w:w="11458"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Транспортировка нефти</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Прирост мощности магистральных трубопроводов для поставок нефти в дальнее зарубежье (процентов к 2005 году)</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36-52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61-67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65-70</w:t>
            </w:r>
          </w:p>
        </w:tc>
      </w:tr>
      <w:tr w:rsidR="005E4CD6" w:rsidRPr="005E4CD6" w:rsidTr="005E4CD6">
        <w:tc>
          <w:tcPr>
            <w:tcW w:w="11458"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Нефтепереработка</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Глубина переработки нефти (процентов)</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79</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82 - 83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89 - 90</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Выход светлых нефтепродуктов (процентов)</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67 - 68</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72 - 73</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Индекс комплексности Нельсона (единиц)</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8,5</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Душевое потребление нефтепродуктов (тонн/человек)</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0,5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1,1 - 1,3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1,3 - 1,6</w:t>
            </w:r>
          </w:p>
        </w:tc>
      </w:tr>
      <w:tr w:rsidR="005E4CD6" w:rsidRPr="005E4CD6" w:rsidTr="005E4CD6">
        <w:tc>
          <w:tcPr>
            <w:tcW w:w="11458"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Экспорт нефти и нефтепродуктов</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Доля восточного направления в общем объеме экспорта нефти и нефтепродуктов (процентов)</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10 - 11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14 - 15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22 - 25</w:t>
            </w:r>
          </w:p>
        </w:tc>
      </w:tr>
    </w:tbl>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Индикаторы стратегического развития газовой промышленности на период до 2030 года</w:t>
      </w:r>
    </w:p>
    <w:tbl>
      <w:tblPr>
        <w:tblW w:w="0" w:type="auto"/>
        <w:tblCellMar>
          <w:left w:w="0" w:type="dxa"/>
          <w:right w:w="0" w:type="dxa"/>
        </w:tblCellMar>
        <w:tblLook w:val="04A0" w:firstRow="1" w:lastRow="0" w:firstColumn="1" w:lastColumn="0" w:noHBand="0" w:noVBand="1"/>
      </w:tblPr>
      <w:tblGrid>
        <w:gridCol w:w="4385"/>
        <w:gridCol w:w="1378"/>
        <w:gridCol w:w="1197"/>
        <w:gridCol w:w="1197"/>
        <w:gridCol w:w="1198"/>
      </w:tblGrid>
      <w:tr w:rsidR="005E4CD6" w:rsidRPr="005E4CD6" w:rsidTr="005E4CD6">
        <w:trPr>
          <w:trHeight w:val="12"/>
        </w:trPr>
        <w:tc>
          <w:tcPr>
            <w:tcW w:w="5359" w:type="dxa"/>
            <w:hideMark/>
          </w:tcPr>
          <w:p w:rsidR="005E4CD6" w:rsidRPr="005E4CD6" w:rsidRDefault="005E4CD6" w:rsidP="005E4CD6">
            <w:pPr>
              <w:spacing w:after="0" w:line="240" w:lineRule="auto"/>
              <w:rPr>
                <w:rFonts w:ascii="Arial" w:eastAsia="Times New Roman" w:hAnsi="Arial" w:cs="Arial"/>
                <w:b/>
                <w:bCs/>
                <w:color w:val="242424"/>
                <w:spacing w:val="2"/>
                <w:sz w:val="31"/>
                <w:szCs w:val="31"/>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535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Индикаторы/направления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2008 год (факт)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w:t>
            </w:r>
            <w:r w:rsidRPr="005E4CD6">
              <w:rPr>
                <w:rFonts w:ascii="Times New Roman" w:eastAsia="Times New Roman" w:hAnsi="Times New Roman" w:cs="Times New Roman"/>
                <w:color w:val="2D2D2D"/>
                <w:sz w:val="21"/>
                <w:szCs w:val="21"/>
                <w:lang w:eastAsia="ru-RU"/>
              </w:rPr>
              <w:br/>
              <w:t>этап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w:t>
            </w:r>
            <w:r w:rsidRPr="005E4CD6">
              <w:rPr>
                <w:rFonts w:ascii="Times New Roman" w:eastAsia="Times New Roman" w:hAnsi="Times New Roman" w:cs="Times New Roman"/>
                <w:color w:val="2D2D2D"/>
                <w:sz w:val="21"/>
                <w:szCs w:val="21"/>
                <w:lang w:eastAsia="ru-RU"/>
              </w:rPr>
              <w:br/>
              <w:t>этап</w:t>
            </w:r>
          </w:p>
        </w:tc>
        <w:tc>
          <w:tcPr>
            <w:tcW w:w="147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 этап</w:t>
            </w:r>
          </w:p>
        </w:tc>
      </w:tr>
      <w:tr w:rsidR="005E4CD6" w:rsidRPr="005E4CD6" w:rsidTr="005E4CD6">
        <w:tc>
          <w:tcPr>
            <w:tcW w:w="11458"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Добыча газа</w:t>
            </w:r>
          </w:p>
        </w:tc>
      </w:tr>
      <w:tr w:rsidR="005E4CD6" w:rsidRPr="005E4CD6" w:rsidTr="005E4CD6">
        <w:tc>
          <w:tcPr>
            <w:tcW w:w="535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Доля новых районов в суммарных объемах добычи (процентов)</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13-14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21-23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38-39</w:t>
            </w:r>
          </w:p>
        </w:tc>
      </w:tr>
      <w:tr w:rsidR="005E4CD6" w:rsidRPr="005E4CD6" w:rsidTr="005E4CD6">
        <w:tc>
          <w:tcPr>
            <w:tcW w:w="535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535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Ямал</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23-24</w:t>
            </w:r>
          </w:p>
        </w:tc>
      </w:tr>
      <w:tr w:rsidR="005E4CD6" w:rsidRPr="005E4CD6" w:rsidTr="005E4CD6">
        <w:tc>
          <w:tcPr>
            <w:tcW w:w="535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Восточная Сибирь и Дальний Восток</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7-8</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12-14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15</w:t>
            </w:r>
          </w:p>
        </w:tc>
      </w:tr>
      <w:tr w:rsidR="005E4CD6" w:rsidRPr="005E4CD6" w:rsidTr="005E4CD6">
        <w:tc>
          <w:tcPr>
            <w:tcW w:w="535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Доля независимых производителей газа и вертикально интегрированных нефтяных компаний в суммарных объемах добычи (процентов)</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25-26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27</w:t>
            </w:r>
          </w:p>
        </w:tc>
      </w:tr>
      <w:tr w:rsidR="005E4CD6" w:rsidRPr="005E4CD6" w:rsidTr="005E4CD6">
        <w:tc>
          <w:tcPr>
            <w:tcW w:w="11458"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Транспортировка газа</w:t>
            </w:r>
          </w:p>
        </w:tc>
      </w:tr>
      <w:tr w:rsidR="005E4CD6" w:rsidRPr="005E4CD6" w:rsidTr="005E4CD6">
        <w:tc>
          <w:tcPr>
            <w:tcW w:w="535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Рост протяженности магистральных газопроводов</w:t>
            </w:r>
            <w:r w:rsidRPr="005E4CD6">
              <w:rPr>
                <w:rFonts w:ascii="Times New Roman" w:eastAsia="Times New Roman" w:hAnsi="Times New Roman" w:cs="Times New Roman"/>
                <w:color w:val="2D2D2D"/>
                <w:sz w:val="21"/>
                <w:szCs w:val="21"/>
                <w:lang w:eastAsia="ru-RU"/>
              </w:rPr>
              <w:br/>
              <w:t>(в процентах к уровню 2005 года)</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8-10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13-15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20-23</w:t>
            </w:r>
          </w:p>
        </w:tc>
      </w:tr>
      <w:tr w:rsidR="005E4CD6" w:rsidRPr="005E4CD6" w:rsidTr="005E4CD6">
        <w:tc>
          <w:tcPr>
            <w:tcW w:w="535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Доля реконструированных действующих газопроводов</w:t>
            </w:r>
            <w:r w:rsidRPr="005E4CD6">
              <w:rPr>
                <w:rFonts w:ascii="Times New Roman" w:eastAsia="Times New Roman" w:hAnsi="Times New Roman" w:cs="Times New Roman"/>
                <w:color w:val="2D2D2D"/>
                <w:sz w:val="21"/>
                <w:szCs w:val="21"/>
                <w:lang w:eastAsia="ru-RU"/>
              </w:rPr>
              <w:br/>
              <w:t>(процентов) в общей протяженности Единой системы газоснабжения</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10-11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12-13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25-26</w:t>
            </w:r>
          </w:p>
        </w:tc>
      </w:tr>
      <w:tr w:rsidR="005E4CD6" w:rsidRPr="005E4CD6" w:rsidTr="005E4CD6">
        <w:tc>
          <w:tcPr>
            <w:tcW w:w="11458"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Экспорт газа</w:t>
            </w:r>
          </w:p>
        </w:tc>
      </w:tr>
      <w:tr w:rsidR="005E4CD6" w:rsidRPr="005E4CD6" w:rsidTr="005E4CD6">
        <w:tc>
          <w:tcPr>
            <w:tcW w:w="535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Доля стран Азиатско-Тихоокеанского региона в структуре экспорта (процентов)</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11-12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16-17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19-20</w:t>
            </w:r>
          </w:p>
        </w:tc>
      </w:tr>
      <w:tr w:rsidR="005E4CD6" w:rsidRPr="005E4CD6" w:rsidTr="005E4CD6">
        <w:tc>
          <w:tcPr>
            <w:tcW w:w="535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Доля сжиженного природного газа в структуре экспорта (процентов)</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10-11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14-15</w:t>
            </w:r>
          </w:p>
        </w:tc>
      </w:tr>
    </w:tbl>
    <w:p w:rsidR="005E4CD6" w:rsidRPr="005E4CD6" w:rsidRDefault="005E4CD6" w:rsidP="005E4CD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4CD6">
        <w:rPr>
          <w:rFonts w:ascii="Arial" w:eastAsia="Times New Roman" w:hAnsi="Arial" w:cs="Arial"/>
          <w:color w:val="4C4C4C"/>
          <w:spacing w:val="2"/>
          <w:sz w:val="38"/>
          <w:szCs w:val="38"/>
          <w:lang w:eastAsia="ru-RU"/>
        </w:rPr>
        <w:t>Индикаторы стратегического развития угольной промышленности на период до 2030 года</w:t>
      </w:r>
    </w:p>
    <w:tbl>
      <w:tblPr>
        <w:tblW w:w="0" w:type="auto"/>
        <w:tblCellMar>
          <w:left w:w="0" w:type="dxa"/>
          <w:right w:w="0" w:type="dxa"/>
        </w:tblCellMar>
        <w:tblLook w:val="04A0" w:firstRow="1" w:lastRow="0" w:firstColumn="1" w:lastColumn="0" w:noHBand="0" w:noVBand="1"/>
      </w:tblPr>
      <w:tblGrid>
        <w:gridCol w:w="4623"/>
        <w:gridCol w:w="1259"/>
        <w:gridCol w:w="1197"/>
        <w:gridCol w:w="1078"/>
        <w:gridCol w:w="1198"/>
      </w:tblGrid>
      <w:tr w:rsidR="005E4CD6" w:rsidRPr="005E4CD6" w:rsidTr="005E4CD6">
        <w:trPr>
          <w:trHeight w:val="12"/>
        </w:trPr>
        <w:tc>
          <w:tcPr>
            <w:tcW w:w="5729" w:type="dxa"/>
            <w:hideMark/>
          </w:tcPr>
          <w:p w:rsidR="005E4CD6" w:rsidRPr="005E4CD6" w:rsidRDefault="005E4CD6" w:rsidP="005E4CD6">
            <w:pPr>
              <w:spacing w:after="0" w:line="240" w:lineRule="auto"/>
              <w:rPr>
                <w:rFonts w:ascii="Arial" w:eastAsia="Times New Roman" w:hAnsi="Arial" w:cs="Arial"/>
                <w:b/>
                <w:bCs/>
                <w:color w:val="4C4C4C"/>
                <w:spacing w:val="2"/>
                <w:sz w:val="38"/>
                <w:szCs w:val="38"/>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294"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5729"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Индикаторы/направления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2008 год (факт)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w:t>
            </w:r>
            <w:r w:rsidRPr="005E4CD6">
              <w:rPr>
                <w:rFonts w:ascii="Times New Roman" w:eastAsia="Times New Roman" w:hAnsi="Times New Roman" w:cs="Times New Roman"/>
                <w:color w:val="2D2D2D"/>
                <w:sz w:val="21"/>
                <w:szCs w:val="21"/>
                <w:lang w:eastAsia="ru-RU"/>
              </w:rPr>
              <w:br/>
              <w:t>этап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w:t>
            </w:r>
            <w:r w:rsidRPr="005E4CD6">
              <w:rPr>
                <w:rFonts w:ascii="Times New Roman" w:eastAsia="Times New Roman" w:hAnsi="Times New Roman" w:cs="Times New Roman"/>
                <w:color w:val="2D2D2D"/>
                <w:sz w:val="21"/>
                <w:szCs w:val="21"/>
                <w:lang w:eastAsia="ru-RU"/>
              </w:rPr>
              <w:br/>
              <w:t>этап</w:t>
            </w:r>
          </w:p>
        </w:tc>
        <w:tc>
          <w:tcPr>
            <w:tcW w:w="147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w:t>
            </w:r>
            <w:r w:rsidRPr="005E4CD6">
              <w:rPr>
                <w:rFonts w:ascii="Times New Roman" w:eastAsia="Times New Roman" w:hAnsi="Times New Roman" w:cs="Times New Roman"/>
                <w:color w:val="2D2D2D"/>
                <w:sz w:val="21"/>
                <w:szCs w:val="21"/>
                <w:lang w:eastAsia="ru-RU"/>
              </w:rPr>
              <w:br/>
              <w:t>этап</w:t>
            </w:r>
          </w:p>
        </w:tc>
      </w:tr>
      <w:tr w:rsidR="005E4CD6" w:rsidRPr="005E4CD6" w:rsidTr="005E4CD6">
        <w:tc>
          <w:tcPr>
            <w:tcW w:w="11458"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Добыча и транспортировка угля</w:t>
            </w:r>
          </w:p>
        </w:tc>
      </w:tr>
      <w:tr w:rsidR="005E4CD6" w:rsidRPr="005E4CD6" w:rsidTr="005E4CD6">
        <w:tc>
          <w:tcPr>
            <w:tcW w:w="572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Удельный вес вновь вводимых мощностей по добыче в общем объеме добычи угля (процентов)</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5-6</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15-20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25-30</w:t>
            </w:r>
          </w:p>
        </w:tc>
      </w:tr>
      <w:tr w:rsidR="005E4CD6" w:rsidRPr="005E4CD6" w:rsidTr="005E4CD6">
        <w:tc>
          <w:tcPr>
            <w:tcW w:w="572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Доля Восточных регионов страны (Канско-Ачинский бассейн, Восточная Сибирь, Дальний Восток) в общем объеме добычи угля (процентов)</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38-39</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41-42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46-47</w:t>
            </w:r>
          </w:p>
        </w:tc>
      </w:tr>
      <w:tr w:rsidR="005E4CD6" w:rsidRPr="005E4CD6" w:rsidTr="005E4CD6">
        <w:tc>
          <w:tcPr>
            <w:tcW w:w="572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Объем мощностей угольных терминалов морских портов (в процентах к 2005 году)</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125</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150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175</w:t>
            </w:r>
          </w:p>
        </w:tc>
      </w:tr>
      <w:tr w:rsidR="005E4CD6" w:rsidRPr="005E4CD6" w:rsidTr="005E4CD6">
        <w:tc>
          <w:tcPr>
            <w:tcW w:w="11458"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Переработка угля</w:t>
            </w:r>
          </w:p>
        </w:tc>
      </w:tr>
      <w:tr w:rsidR="005E4CD6" w:rsidRPr="005E4CD6" w:rsidTr="005E4CD6">
        <w:tc>
          <w:tcPr>
            <w:tcW w:w="572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Охват обогащением каменного</w:t>
            </w:r>
            <w:r w:rsidRPr="005E4CD6">
              <w:rPr>
                <w:rFonts w:ascii="Times New Roman" w:eastAsia="Times New Roman" w:hAnsi="Times New Roman" w:cs="Times New Roman"/>
                <w:color w:val="2D2D2D"/>
                <w:sz w:val="21"/>
                <w:szCs w:val="21"/>
                <w:lang w:eastAsia="ru-RU"/>
              </w:rPr>
              <w:br/>
              <w:t>энергетического угля (процентов)</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35-40</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55-60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65-70</w:t>
            </w:r>
          </w:p>
        </w:tc>
      </w:tr>
      <w:tr w:rsidR="005E4CD6" w:rsidRPr="005E4CD6" w:rsidTr="005E4CD6">
        <w:tc>
          <w:tcPr>
            <w:tcW w:w="572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Калорийный эквивалент потребляемого на внутреннем рынке угольного топлива</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0,62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0,65</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0,7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0,75</w:t>
            </w:r>
          </w:p>
        </w:tc>
      </w:tr>
      <w:tr w:rsidR="005E4CD6" w:rsidRPr="005E4CD6" w:rsidTr="005E4CD6">
        <w:tc>
          <w:tcPr>
            <w:tcW w:w="11458"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Научно-технический прогресс и инновации</w:t>
            </w:r>
          </w:p>
        </w:tc>
      </w:tr>
      <w:tr w:rsidR="005E4CD6" w:rsidRPr="005E4CD6" w:rsidTr="005E4CD6">
        <w:tc>
          <w:tcPr>
            <w:tcW w:w="572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Удельный вес прогрессивных технологий добычи в общем объеме добычи угля:</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572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подземный способ</w:t>
            </w:r>
            <w:r w:rsidRPr="005E4CD6">
              <w:rPr>
                <w:rFonts w:ascii="Times New Roman" w:eastAsia="Times New Roman" w:hAnsi="Times New Roman" w:cs="Times New Roman"/>
                <w:color w:val="2D2D2D"/>
                <w:sz w:val="21"/>
                <w:szCs w:val="21"/>
                <w:lang w:eastAsia="ru-RU"/>
              </w:rPr>
              <w:br/>
              <w:t>("шахта-лава")</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35-40</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55-60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65-70</w:t>
            </w:r>
          </w:p>
        </w:tc>
      </w:tr>
      <w:tr w:rsidR="005E4CD6" w:rsidRPr="005E4CD6" w:rsidTr="005E4CD6">
        <w:tc>
          <w:tcPr>
            <w:tcW w:w="572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открытый способ</w:t>
            </w:r>
            <w:r w:rsidRPr="005E4CD6">
              <w:rPr>
                <w:rFonts w:ascii="Times New Roman" w:eastAsia="Times New Roman" w:hAnsi="Times New Roman" w:cs="Times New Roman"/>
                <w:color w:val="2D2D2D"/>
                <w:sz w:val="21"/>
                <w:szCs w:val="21"/>
                <w:lang w:eastAsia="ru-RU"/>
              </w:rPr>
              <w:br/>
              <w:t>(поточная и поточно-цикличная)</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30-35</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40-50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60</w:t>
            </w:r>
          </w:p>
        </w:tc>
      </w:tr>
      <w:tr w:rsidR="005E4CD6" w:rsidRPr="005E4CD6" w:rsidTr="005E4CD6">
        <w:tc>
          <w:tcPr>
            <w:tcW w:w="572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Доля угля, используемая для получения продуктов глубокой переработки угля, в общем объеме добычи угля (процентов)</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5-8</w:t>
            </w:r>
          </w:p>
        </w:tc>
      </w:tr>
      <w:tr w:rsidR="005E4CD6" w:rsidRPr="005E4CD6" w:rsidTr="005E4CD6">
        <w:tc>
          <w:tcPr>
            <w:tcW w:w="11458"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Экономическая эффективность угольной промышленности</w:t>
            </w:r>
          </w:p>
        </w:tc>
      </w:tr>
      <w:tr w:rsidR="005E4CD6" w:rsidRPr="005E4CD6" w:rsidTr="005E4CD6">
        <w:tc>
          <w:tcPr>
            <w:tcW w:w="572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Прирост добычи на одного занятого</w:t>
            </w:r>
            <w:r w:rsidRPr="005E4CD6">
              <w:rPr>
                <w:rFonts w:ascii="Times New Roman" w:eastAsia="Times New Roman" w:hAnsi="Times New Roman" w:cs="Times New Roman"/>
                <w:color w:val="2D2D2D"/>
                <w:sz w:val="21"/>
                <w:szCs w:val="21"/>
                <w:lang w:eastAsia="ru-RU"/>
              </w:rPr>
              <w:br/>
              <w:t>в отрасли (в процентах к 2005 году)</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150</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250-260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375-420</w:t>
            </w:r>
          </w:p>
        </w:tc>
      </w:tr>
      <w:tr w:rsidR="005E4CD6" w:rsidRPr="005E4CD6" w:rsidTr="005E4CD6">
        <w:tc>
          <w:tcPr>
            <w:tcW w:w="572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Темпы роста нагрузки на очистной забой (в процентах к 2005 году)</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135-140</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200-250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400-450</w:t>
            </w:r>
          </w:p>
        </w:tc>
      </w:tr>
      <w:tr w:rsidR="005E4CD6" w:rsidRPr="005E4CD6" w:rsidTr="005E4CD6">
        <w:tc>
          <w:tcPr>
            <w:tcW w:w="11458"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Экологическая эффективность угольной промышленности</w:t>
            </w:r>
          </w:p>
        </w:tc>
      </w:tr>
      <w:tr w:rsidR="005E4CD6" w:rsidRPr="005E4CD6" w:rsidTr="005E4CD6">
        <w:tc>
          <w:tcPr>
            <w:tcW w:w="572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Уровень рекультивации земель</w:t>
            </w:r>
            <w:r w:rsidRPr="005E4CD6">
              <w:rPr>
                <w:rFonts w:ascii="Times New Roman" w:eastAsia="Times New Roman" w:hAnsi="Times New Roman" w:cs="Times New Roman"/>
                <w:color w:val="2D2D2D"/>
                <w:sz w:val="21"/>
                <w:szCs w:val="21"/>
                <w:lang w:eastAsia="ru-RU"/>
              </w:rPr>
              <w:br/>
              <w:t>от годового нарушения (процентов)</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60</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65-70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100</w:t>
            </w:r>
          </w:p>
        </w:tc>
      </w:tr>
      <w:tr w:rsidR="005E4CD6" w:rsidRPr="005E4CD6" w:rsidTr="005E4CD6">
        <w:tc>
          <w:tcPr>
            <w:tcW w:w="572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Уровень сброса загрязненных сточных вод относительно общего сброса (процентов)</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80-85</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70-60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30-35</w:t>
            </w:r>
          </w:p>
        </w:tc>
      </w:tr>
      <w:tr w:rsidR="005E4CD6" w:rsidRPr="005E4CD6" w:rsidTr="005E4CD6">
        <w:tc>
          <w:tcPr>
            <w:tcW w:w="5729"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Коэффициент водооборота</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0,7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0,73</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0,8-0,85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0,9-0,95</w:t>
            </w:r>
          </w:p>
        </w:tc>
      </w:tr>
    </w:tbl>
    <w:p w:rsidR="005E4CD6" w:rsidRPr="005E4CD6" w:rsidRDefault="005E4CD6" w:rsidP="005E4CD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4CD6">
        <w:rPr>
          <w:rFonts w:ascii="Arial" w:eastAsia="Times New Roman" w:hAnsi="Arial" w:cs="Arial"/>
          <w:color w:val="4C4C4C"/>
          <w:spacing w:val="2"/>
          <w:sz w:val="38"/>
          <w:szCs w:val="38"/>
          <w:lang w:eastAsia="ru-RU"/>
        </w:rPr>
        <w:t>Индикаторы стратегического развития электроэнергетики на период до 2030 года</w:t>
      </w:r>
    </w:p>
    <w:tbl>
      <w:tblPr>
        <w:tblW w:w="0" w:type="auto"/>
        <w:tblCellMar>
          <w:left w:w="0" w:type="dxa"/>
          <w:right w:w="0" w:type="dxa"/>
        </w:tblCellMar>
        <w:tblLook w:val="04A0" w:firstRow="1" w:lastRow="0" w:firstColumn="1" w:lastColumn="0" w:noHBand="0" w:noVBand="1"/>
      </w:tblPr>
      <w:tblGrid>
        <w:gridCol w:w="4166"/>
        <w:gridCol w:w="1577"/>
        <w:gridCol w:w="1129"/>
        <w:gridCol w:w="1241"/>
        <w:gridCol w:w="1242"/>
      </w:tblGrid>
      <w:tr w:rsidR="005E4CD6" w:rsidRPr="005E4CD6" w:rsidTr="005E4CD6">
        <w:trPr>
          <w:trHeight w:val="12"/>
        </w:trPr>
        <w:tc>
          <w:tcPr>
            <w:tcW w:w="5174" w:type="dxa"/>
            <w:hideMark/>
          </w:tcPr>
          <w:p w:rsidR="005E4CD6" w:rsidRPr="005E4CD6" w:rsidRDefault="005E4CD6" w:rsidP="005E4CD6">
            <w:pPr>
              <w:spacing w:after="0" w:line="240" w:lineRule="auto"/>
              <w:rPr>
                <w:rFonts w:ascii="Arial" w:eastAsia="Times New Roman" w:hAnsi="Arial" w:cs="Arial"/>
                <w:b/>
                <w:bCs/>
                <w:color w:val="4C4C4C"/>
                <w:spacing w:val="2"/>
                <w:sz w:val="38"/>
                <w:szCs w:val="38"/>
                <w:lang w:eastAsia="ru-RU"/>
              </w:rPr>
            </w:pPr>
          </w:p>
        </w:tc>
        <w:tc>
          <w:tcPr>
            <w:tcW w:w="203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294"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517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Индикаторы/направления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2008 год</w:t>
            </w:r>
            <w:r w:rsidRPr="005E4CD6">
              <w:rPr>
                <w:rFonts w:ascii="Times New Roman" w:eastAsia="Times New Roman" w:hAnsi="Times New Roman" w:cs="Times New Roman"/>
                <w:color w:val="2D2D2D"/>
                <w:sz w:val="21"/>
                <w:szCs w:val="21"/>
                <w:lang w:eastAsia="ru-RU"/>
              </w:rPr>
              <w:br/>
              <w:t>(факт)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w:t>
            </w:r>
            <w:r w:rsidRPr="005E4CD6">
              <w:rPr>
                <w:rFonts w:ascii="Times New Roman" w:eastAsia="Times New Roman" w:hAnsi="Times New Roman" w:cs="Times New Roman"/>
                <w:color w:val="2D2D2D"/>
                <w:sz w:val="21"/>
                <w:szCs w:val="21"/>
                <w:lang w:eastAsia="ru-RU"/>
              </w:rPr>
              <w:br/>
              <w:t>этап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w:t>
            </w:r>
            <w:r w:rsidRPr="005E4CD6">
              <w:rPr>
                <w:rFonts w:ascii="Times New Roman" w:eastAsia="Times New Roman" w:hAnsi="Times New Roman" w:cs="Times New Roman"/>
                <w:color w:val="2D2D2D"/>
                <w:sz w:val="21"/>
                <w:szCs w:val="21"/>
                <w:lang w:eastAsia="ru-RU"/>
              </w:rPr>
              <w:br/>
              <w:t>этап</w:t>
            </w:r>
          </w:p>
        </w:tc>
        <w:tc>
          <w:tcPr>
            <w:tcW w:w="147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w:t>
            </w:r>
            <w:r w:rsidRPr="005E4CD6">
              <w:rPr>
                <w:rFonts w:ascii="Times New Roman" w:eastAsia="Times New Roman" w:hAnsi="Times New Roman" w:cs="Times New Roman"/>
                <w:color w:val="2D2D2D"/>
                <w:sz w:val="21"/>
                <w:szCs w:val="21"/>
                <w:lang w:eastAsia="ru-RU"/>
              </w:rPr>
              <w:br/>
              <w:t>этап</w:t>
            </w:r>
          </w:p>
        </w:tc>
      </w:tr>
      <w:tr w:rsidR="005E4CD6" w:rsidRPr="005E4CD6" w:rsidTr="005E4CD6">
        <w:tc>
          <w:tcPr>
            <w:tcW w:w="11458"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Производство электроэнергии</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Доля нетопливных источников энергии в структуре производства электроэнергии (процентов)</w:t>
            </w:r>
          </w:p>
        </w:tc>
        <w:tc>
          <w:tcPr>
            <w:tcW w:w="203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32,5</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34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35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38</w:t>
            </w:r>
          </w:p>
        </w:tc>
      </w:tr>
      <w:tr w:rsidR="005E4CD6" w:rsidRPr="005E4CD6" w:rsidTr="005E4CD6">
        <w:tc>
          <w:tcPr>
            <w:tcW w:w="11458"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Топливообеспечение тепловых электростанций</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Доля газа в структуре топливообеспечения</w:t>
            </w:r>
            <w:r w:rsidRPr="005E4CD6">
              <w:rPr>
                <w:rFonts w:ascii="Times New Roman" w:eastAsia="Times New Roman" w:hAnsi="Times New Roman" w:cs="Times New Roman"/>
                <w:color w:val="2D2D2D"/>
                <w:sz w:val="21"/>
                <w:szCs w:val="21"/>
                <w:lang w:eastAsia="ru-RU"/>
              </w:rPr>
              <w:br/>
              <w:t>(процентов)</w:t>
            </w:r>
          </w:p>
        </w:tc>
        <w:tc>
          <w:tcPr>
            <w:tcW w:w="203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70,3</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70-71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65-66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60-62</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Доля угля в структуре топливообеспечения</w:t>
            </w:r>
            <w:r w:rsidRPr="005E4CD6">
              <w:rPr>
                <w:rFonts w:ascii="Times New Roman" w:eastAsia="Times New Roman" w:hAnsi="Times New Roman" w:cs="Times New Roman"/>
                <w:color w:val="2D2D2D"/>
                <w:sz w:val="21"/>
                <w:szCs w:val="21"/>
                <w:lang w:eastAsia="ru-RU"/>
              </w:rPr>
              <w:br/>
              <w:t>(процентов)</w:t>
            </w:r>
          </w:p>
        </w:tc>
        <w:tc>
          <w:tcPr>
            <w:tcW w:w="203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26</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25-26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29-30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34-36</w:t>
            </w:r>
          </w:p>
        </w:tc>
      </w:tr>
      <w:tr w:rsidR="005E4CD6" w:rsidRPr="005E4CD6" w:rsidTr="005E4CD6">
        <w:tc>
          <w:tcPr>
            <w:tcW w:w="11458"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Энергетическая безопасность и надежность электроснабжения</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Вероятность бездефицитной работы энергосистем России</w:t>
            </w:r>
          </w:p>
        </w:tc>
        <w:tc>
          <w:tcPr>
            <w:tcW w:w="203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0,9960</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0,9990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0,9991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0,9997</w:t>
            </w:r>
          </w:p>
        </w:tc>
      </w:tr>
      <w:tr w:rsidR="005E4CD6" w:rsidRPr="005E4CD6" w:rsidTr="005E4CD6">
        <w:tc>
          <w:tcPr>
            <w:tcW w:w="11458"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Эффективность электроэнергетики</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Коэффициент полезного действия угольных электростанций (процентов)</w:t>
            </w:r>
          </w:p>
        </w:tc>
        <w:tc>
          <w:tcPr>
            <w:tcW w:w="203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34</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35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38</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41</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Коэффициент полезного действия газовых электростанций (процентов)</w:t>
            </w:r>
          </w:p>
        </w:tc>
        <w:tc>
          <w:tcPr>
            <w:tcW w:w="203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38</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45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50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53</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Коэффициент полезного действия атомных электростанций (процентов)</w:t>
            </w:r>
          </w:p>
        </w:tc>
        <w:tc>
          <w:tcPr>
            <w:tcW w:w="203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32</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32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34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36</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Удельные расходы топлива на отпуск электроэнергии от тепловых электростанций, граммов условного</w:t>
            </w:r>
            <w:r w:rsidRPr="005E4CD6">
              <w:rPr>
                <w:rFonts w:ascii="Times New Roman" w:eastAsia="Times New Roman" w:hAnsi="Times New Roman" w:cs="Times New Roman"/>
                <w:color w:val="2D2D2D"/>
                <w:sz w:val="21"/>
                <w:szCs w:val="21"/>
                <w:lang w:eastAsia="ru-RU"/>
              </w:rPr>
              <w:br/>
              <w:t>топлива / </w:t>
            </w:r>
            <w:r w:rsidRPr="005E4CD6">
              <w:rPr>
                <w:rFonts w:ascii="Times New Roman" w:eastAsia="Times New Roman" w:hAnsi="Times New Roman" w:cs="Times New Roman"/>
                <w:noProof/>
                <w:color w:val="2D2D2D"/>
                <w:sz w:val="21"/>
                <w:szCs w:val="21"/>
                <w:lang w:eastAsia="ru-RU"/>
              </w:rPr>
              <w:drawing>
                <wp:inline distT="0" distB="0" distL="0" distR="0" wp14:anchorId="0224FFAB" wp14:editId="355D27FC">
                  <wp:extent cx="457200" cy="158750"/>
                  <wp:effectExtent l="0" t="0" r="0" b="0"/>
                  <wp:docPr id="10" name="Рисунок 10" descr="Об утверждении Энергетической стратегии России на период до 203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б утверждении Энергетической стратегии России на период до 2030 год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58750"/>
                          </a:xfrm>
                          <a:prstGeom prst="rect">
                            <a:avLst/>
                          </a:prstGeom>
                          <a:noFill/>
                          <a:ln>
                            <a:noFill/>
                          </a:ln>
                        </pic:spPr>
                      </pic:pic>
                    </a:graphicData>
                  </a:graphic>
                </wp:inline>
              </w:drawing>
            </w:r>
            <w:r w:rsidRPr="005E4CD6">
              <w:rPr>
                <w:rFonts w:ascii="Times New Roman" w:eastAsia="Times New Roman" w:hAnsi="Times New Roman" w:cs="Times New Roman"/>
                <w:color w:val="2D2D2D"/>
                <w:sz w:val="21"/>
                <w:szCs w:val="21"/>
                <w:lang w:eastAsia="ru-RU"/>
              </w:rPr>
              <w:t>(в процентах</w:t>
            </w:r>
            <w:r w:rsidRPr="005E4CD6">
              <w:rPr>
                <w:rFonts w:ascii="Times New Roman" w:eastAsia="Times New Roman" w:hAnsi="Times New Roman" w:cs="Times New Roman"/>
                <w:color w:val="2D2D2D"/>
                <w:sz w:val="21"/>
                <w:szCs w:val="21"/>
                <w:lang w:eastAsia="ru-RU"/>
              </w:rPr>
              <w:br/>
              <w:t>к 2005 году)</w:t>
            </w:r>
          </w:p>
        </w:tc>
        <w:tc>
          <w:tcPr>
            <w:tcW w:w="203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333</w:t>
            </w:r>
            <w:r w:rsidRPr="005E4CD6">
              <w:rPr>
                <w:rFonts w:ascii="Times New Roman" w:eastAsia="Times New Roman" w:hAnsi="Times New Roman" w:cs="Times New Roman"/>
                <w:color w:val="2D2D2D"/>
                <w:sz w:val="21"/>
                <w:szCs w:val="21"/>
                <w:lang w:eastAsia="ru-RU"/>
              </w:rPr>
              <w:br/>
              <w:t>(99)</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315 (94)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300 (90)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270 (81)</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Потери в электрических сетях (процентов отпуска электроэнергии в сеть)</w:t>
            </w:r>
          </w:p>
        </w:tc>
        <w:tc>
          <w:tcPr>
            <w:tcW w:w="203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12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10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8</w:t>
            </w:r>
          </w:p>
        </w:tc>
      </w:tr>
    </w:tbl>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Индикаторы стратегического развития теплоснабжения на период до 2030 года</w:t>
      </w:r>
    </w:p>
    <w:tbl>
      <w:tblPr>
        <w:tblW w:w="0" w:type="auto"/>
        <w:tblCellMar>
          <w:left w:w="0" w:type="dxa"/>
          <w:right w:w="0" w:type="dxa"/>
        </w:tblCellMar>
        <w:tblLook w:val="04A0" w:firstRow="1" w:lastRow="0" w:firstColumn="1" w:lastColumn="0" w:noHBand="0" w:noVBand="1"/>
      </w:tblPr>
      <w:tblGrid>
        <w:gridCol w:w="3933"/>
        <w:gridCol w:w="1369"/>
        <w:gridCol w:w="1351"/>
        <w:gridCol w:w="1351"/>
        <w:gridCol w:w="1351"/>
      </w:tblGrid>
      <w:tr w:rsidR="005E4CD6" w:rsidRPr="005E4CD6" w:rsidTr="005E4CD6">
        <w:trPr>
          <w:trHeight w:val="12"/>
        </w:trPr>
        <w:tc>
          <w:tcPr>
            <w:tcW w:w="5174" w:type="dxa"/>
            <w:hideMark/>
          </w:tcPr>
          <w:p w:rsidR="005E4CD6" w:rsidRPr="005E4CD6" w:rsidRDefault="005E4CD6" w:rsidP="005E4CD6">
            <w:pPr>
              <w:spacing w:after="0" w:line="240" w:lineRule="auto"/>
              <w:rPr>
                <w:rFonts w:ascii="Arial" w:eastAsia="Times New Roman" w:hAnsi="Arial" w:cs="Arial"/>
                <w:b/>
                <w:bCs/>
                <w:color w:val="242424"/>
                <w:spacing w:val="2"/>
                <w:sz w:val="31"/>
                <w:szCs w:val="31"/>
                <w:lang w:eastAsia="ru-RU"/>
              </w:rPr>
            </w:pPr>
          </w:p>
        </w:tc>
        <w:tc>
          <w:tcPr>
            <w:tcW w:w="184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517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Индикаторы/направления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2008 год</w:t>
            </w:r>
            <w:r w:rsidRPr="005E4CD6">
              <w:rPr>
                <w:rFonts w:ascii="Times New Roman" w:eastAsia="Times New Roman" w:hAnsi="Times New Roman" w:cs="Times New Roman"/>
                <w:color w:val="2D2D2D"/>
                <w:sz w:val="21"/>
                <w:szCs w:val="21"/>
                <w:lang w:eastAsia="ru-RU"/>
              </w:rPr>
              <w:br/>
              <w:t>(факт)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w:t>
            </w:r>
            <w:r w:rsidRPr="005E4CD6">
              <w:rPr>
                <w:rFonts w:ascii="Times New Roman" w:eastAsia="Times New Roman" w:hAnsi="Times New Roman" w:cs="Times New Roman"/>
                <w:color w:val="2D2D2D"/>
                <w:sz w:val="21"/>
                <w:szCs w:val="21"/>
                <w:lang w:eastAsia="ru-RU"/>
              </w:rPr>
              <w:br/>
              <w:t>этап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w:t>
            </w:r>
            <w:r w:rsidRPr="005E4CD6">
              <w:rPr>
                <w:rFonts w:ascii="Times New Roman" w:eastAsia="Times New Roman" w:hAnsi="Times New Roman" w:cs="Times New Roman"/>
                <w:color w:val="2D2D2D"/>
                <w:sz w:val="21"/>
                <w:szCs w:val="21"/>
                <w:lang w:eastAsia="ru-RU"/>
              </w:rPr>
              <w:br/>
              <w:t>этап</w:t>
            </w:r>
          </w:p>
        </w:tc>
        <w:tc>
          <w:tcPr>
            <w:tcW w:w="184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w:t>
            </w:r>
            <w:r w:rsidRPr="005E4CD6">
              <w:rPr>
                <w:rFonts w:ascii="Times New Roman" w:eastAsia="Times New Roman" w:hAnsi="Times New Roman" w:cs="Times New Roman"/>
                <w:color w:val="2D2D2D"/>
                <w:sz w:val="21"/>
                <w:szCs w:val="21"/>
                <w:lang w:eastAsia="ru-RU"/>
              </w:rPr>
              <w:br/>
              <w:t>этап</w:t>
            </w:r>
          </w:p>
        </w:tc>
      </w:tr>
      <w:tr w:rsidR="005E4CD6" w:rsidRPr="005E4CD6" w:rsidTr="005E4CD6">
        <w:tc>
          <w:tcPr>
            <w:tcW w:w="12566"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Энергетическая безопасность и надежность теплоснабжения</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Частота отключений теплоснабжения, </w:t>
            </w:r>
            <w:r w:rsidRPr="005E4CD6">
              <w:rPr>
                <w:rFonts w:ascii="Times New Roman" w:eastAsia="Times New Roman" w:hAnsi="Times New Roman" w:cs="Times New Roman"/>
                <w:noProof/>
                <w:color w:val="2D2D2D"/>
                <w:sz w:val="21"/>
                <w:szCs w:val="21"/>
                <w:lang w:eastAsia="ru-RU"/>
              </w:rPr>
              <mc:AlternateContent>
                <mc:Choice Requires="wps">
                  <w:drawing>
                    <wp:inline distT="0" distB="0" distL="0" distR="0" wp14:anchorId="6070E5D0" wp14:editId="09227409">
                      <wp:extent cx="82550" cy="222250"/>
                      <wp:effectExtent l="0" t="0" r="0" b="0"/>
                      <wp:docPr id="2" name="AutoShape 11" descr="Об утверждении Энергетической стратегии России на период до 203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68CD0" id="AutoShape 11" o:spid="_x0000_s1026" alt="Об утверждении Энергетической стратегии России на период до 2030 года"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aMsKwMAAD0GAAAOAAAAZHJzL2Uyb0RvYy54bWysVF1u3DYQfi/QOxB8l/Vj7XolWA7sXW9R&#10;wPkB0hyAK1ErohKpkLRltygQOw+5RZALBHCaOHAKxL0C90YdUrvrtf1SJNEDRc4MZ+ab+Ti7j06b&#10;Gp1QqZjgGQ63Aowoz0XB+DzDL36beiOMlCa8ILXgNMNnVOFHez//tNu1KY1EJeqCSgROuEq7NsOV&#10;1m3q+yqvaEPUlmgpB2UpZEM0HOXcLyTpwHtT+1EQDP1OyKKVIqdKgXTSK/Ge81+WNNdPy1JRjeoM&#10;Q27ardKtM7v6e7sknUvSVixfpkG+IYuGMA5B164mRBN0LNkDVw3LpVCi1Fu5aHxRliynDgOgCYN7&#10;aJ5XpKUOCxRHtesyqR/nNn9y8kwiVmQ4woiTBlq0f6yFi4zCEKOCqhzqZd6aD2jxenFh/jZXi1fm&#10;s/lkrsxXc22ukXkPGyv8COuFuV68gf+5+cfcmC9ocb64ANUlKK7AwNm/MzcgPu8PX80lMv+6+9dw&#10;4xMCzzcoCrYDBPYgMJe2S12rUkj2eftM2jqr9kjkvyvExbgifE73VQu9BgYCipVIStFVlBRQrtC6&#10;8O/4sAcF3tCseywKwE0At+vhaSkbGwO6g04dVc7WVKGnGuUgHEWDAfApB00EH+xtAJKu7rZS6V+o&#10;aJDdZFhCcs43OTlSujddmdhQXExZXYOcpDW/IwCfvQQiw1Wrszk4bv2ZBMnh6HAUe3E0PPTiYDLx&#10;9qfj2BtOw53BZHsyHk/Cv2zcME4rVhSU2zArnofx/+PR8sX1DF0zXYmaFdadTUnJ+WxcS3RC4J1N&#10;3bcsyIaZfzcNVy/Acg9SGMXBQZR40+Fox4un8cBLdoKRF4TJQTIM4iSeTO9COmKcfj8k1GU4GUQD&#10;16WNpO9hC9z3EBtJG6ZhktWsAXKsjUhqCXjIC9daTVjd7zdKYdO/LQW0e9VoR1fL0J78M1GcAVul&#10;ADoB82DmwqYS8g+MOphfGVYvj4mkGNW/cmB8EsaxHXjuEA92IjjITc1sU0N4Dq4yrDHqt2PdD8nj&#10;VrJ5BZFCVxgu7HQomaOwfUF9Vsu3BTPKIVnOUzsEN8/O6nbq7/0HAAD//wMAUEsDBBQABgAIAAAA&#10;IQCDdEfI2gAAAAMBAAAPAAAAZHJzL2Rvd25yZXYueG1sTI9BS8NAEIXvgv9hGcGL2I0WRWImRQpi&#10;EaE01Z6n2TEJZmfT7DaJ/96tF708eLzhvW+yxWRbNXDvGycIN7MEFEvpTCMVwvv2+foBlA8khlon&#10;jPDNHhb5+VlGqXGjbHgoQqViifiUEOoQulRrX9Zsyc9cxxKzT9dbCtH2lTY9jbHctvo2Se61pUbi&#10;Qk0dL2suv4qjRRjL9bDbvr3o9dVu5eSwOiyLj1fEy4vp6RFU4Cn8HcMJP6JDHpn27ijGqxYhPhJ+&#10;9ZTNo9sjzO8S0Hmm/7PnPwAAAP//AwBQSwECLQAUAAYACAAAACEAtoM4kv4AAADhAQAAEwAAAAAA&#10;AAAAAAAAAAAAAAAAW0NvbnRlbnRfVHlwZXNdLnhtbFBLAQItABQABgAIAAAAIQA4/SH/1gAAAJQB&#10;AAALAAAAAAAAAAAAAAAAAC8BAABfcmVscy8ucmVsc1BLAQItABQABgAIAAAAIQDlGaMsKwMAAD0G&#10;AAAOAAAAAAAAAAAAAAAAAC4CAABkcnMvZTJvRG9jLnhtbFBLAQItABQABgAIAAAAIQCDdEfI2gAA&#10;AAMBAAAPAAAAAAAAAAAAAAAAAIUFAABkcnMvZG93bnJldi54bWxQSwUGAAAAAAQABADzAAAAjAYA&#10;AAAA&#10;" filled="f" stroked="f">
                      <o:lock v:ext="edit" aspectratio="t"/>
                      <w10:anchorlock/>
                    </v:rect>
                  </w:pict>
                </mc:Fallback>
              </mc:AlternateContent>
            </w:r>
            <w:r w:rsidRPr="005E4CD6">
              <w:rPr>
                <w:rFonts w:ascii="Times New Roman" w:eastAsia="Times New Roman" w:hAnsi="Times New Roman" w:cs="Times New Roman"/>
                <w:color w:val="2D2D2D"/>
                <w:sz w:val="21"/>
                <w:szCs w:val="21"/>
                <w:lang w:eastAsia="ru-RU"/>
              </w:rPr>
              <w:t>/год</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0,27</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0,25</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0,20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0,15</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Частота нарушений теплоснабжения по вине источников, </w:t>
            </w:r>
            <w:r w:rsidRPr="005E4CD6">
              <w:rPr>
                <w:rFonts w:ascii="Times New Roman" w:eastAsia="Times New Roman" w:hAnsi="Times New Roman" w:cs="Times New Roman"/>
                <w:noProof/>
                <w:color w:val="2D2D2D"/>
                <w:sz w:val="21"/>
                <w:szCs w:val="21"/>
                <w:lang w:eastAsia="ru-RU"/>
              </w:rPr>
              <mc:AlternateContent>
                <mc:Choice Requires="wps">
                  <w:drawing>
                    <wp:inline distT="0" distB="0" distL="0" distR="0" wp14:anchorId="662D3A39" wp14:editId="45D8EF63">
                      <wp:extent cx="82550" cy="222250"/>
                      <wp:effectExtent l="0" t="0" r="0" b="0"/>
                      <wp:docPr id="1" name="AutoShape 12" descr="Об утверждении Энергетической стратегии России на период до 2030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382083" id="AutoShape 12" o:spid="_x0000_s1026" alt="Об утверждении Энергетической стратегии России на период до 2030 года"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S5KQMAAD0GAAAOAAAAZHJzL2Uyb0RvYy54bWysVF1u3DYQfi/QOxB8l/Vj7XolWA7sXW9R&#10;wPkB0hyAK1ErohKpkLRltygQOw+5RZALBHCaOHAKxL0C90YdUrvrtf1SJNEDRc4MZ+ab+Ti7j06b&#10;Gp1QqZjgGQ63Aowoz0XB+DzDL36beiOMlCa8ILXgNMNnVOFHez//tNu1KY1EJeqCSgROuEq7NsOV&#10;1m3q+yqvaEPUlmgpB2UpZEM0HOXcLyTpwHtT+1EQDP1OyKKVIqdKgXTSK/Ge81+WNNdPy1JRjeoM&#10;Q27ardKtM7v6e7sknUvSVixfpkG+IYuGMA5B164mRBN0LNkDVw3LpVCi1Fu5aHxRliynDgOgCYN7&#10;aJ5XpKUOCxRHtesyqR/nNn9y8kwiVkDvMOKkgRbtH2vhIqMwwqigKod6mbfmA1q8XlyYv83V4pX5&#10;bD6ZK/PVXJtrZN7Dxgo/wnphrhdv4H9u/jE35gtanC8uQHUJiiswcPbvzA2Iz/vDV3OJzL/u/jXc&#10;+ITA8w2Kgu0AgT0IzKXtUteqFJJ93j6Tts6qPRL57wpxMa4In9N91UKvexQrkZSiqygpoFyhdeHf&#10;8WEPCryhWfdYFICbAG7Xw9NSNjYGdAedOqqcralCTzXKQTiKBgPgUw6aCD7Y2wAkXd1tpdK/UNEg&#10;u8mwhOScb3JypHRvujKxobiYsroGOUlrfkcAPnsJRIarVmdzcNz6MwmSw9HhKPbiaHjoxcFk4u1P&#10;x7E3nIY7g8n2ZDyehH/ZuGGcVqwoKLdhVjwP4//Ho+WL6xm6ZroSNSusO5uSkvPZuJbohMA7m7pv&#10;WZANM/9uGq5egOUepDCKg4Mo8abD0Y4XT+OBl+wEIy8Ik4NkGMRJPJnehXTEOP1+SKjLcDKIBq5L&#10;G0nfwxa47yE2kjZMwySrWQPkWBuR1BLwkBeutZqwut9vlMKmf1sKaPeq0Y6ulqE9+WeiOAO2SgF0&#10;AubBzIVNJeQfGHUwvzKsXh4TSTGqf+XA+CSMYzvw3CEe7ERwkJua2aaG8BxcZVhj1G/Huh+Sx61k&#10;8woiha4wXNjpUDJHYfuC+qyWbwtmlEOynKd2CG6endXt1N/7DwAA//8DAFBLAwQUAAYACAAAACEA&#10;g3RHyNoAAAADAQAADwAAAGRycy9kb3ducmV2LnhtbEyPQUvDQBCF74L/YRnBi9iNFkViJkUKYhGh&#10;NNWep9kxCWZn0+w2if/erRe9PHi84b1vssVkWzVw7xsnCDezBBRL6UwjFcL79vn6AZQPJIZaJ4zw&#10;zR4W+flZRqlxo2x4KEKlYon4lBDqELpUa1/WbMnPXMcSs0/XWwrR9pU2PY2x3Lb6NknutaVG4kJN&#10;HS9rLr+Ko0UYy/Ww27696PXVbuXksDosi49XxMuL6ekRVOAp/B3DCT+iQx6Z9u4oxqsWIT4SfvWU&#10;zaPbI8zvEtB5pv+z5z8AAAD//wMAUEsBAi0AFAAGAAgAAAAhALaDOJL+AAAA4QEAABMAAAAAAAAA&#10;AAAAAAAAAAAAAFtDb250ZW50X1R5cGVzXS54bWxQSwECLQAUAAYACAAAACEAOP0h/9YAAACUAQAA&#10;CwAAAAAAAAAAAAAAAAAvAQAAX3JlbHMvLnJlbHNQSwECLQAUAAYACAAAACEAyookuSkDAAA9BgAA&#10;DgAAAAAAAAAAAAAAAAAuAgAAZHJzL2Uyb0RvYy54bWxQSwECLQAUAAYACAAAACEAg3RHyNoAAAAD&#10;AQAADwAAAAAAAAAAAAAAAACDBQAAZHJzL2Rvd25yZXYueG1sUEsFBgAAAAAEAAQA8wAAAIoGAAAA&#10;AA==&#10;" filled="f" stroked="f">
                      <o:lock v:ext="edit" aspectratio="t"/>
                      <w10:anchorlock/>
                    </v:rect>
                  </w:pict>
                </mc:Fallback>
              </mc:AlternateContent>
            </w:r>
            <w:r w:rsidRPr="005E4CD6">
              <w:rPr>
                <w:rFonts w:ascii="Times New Roman" w:eastAsia="Times New Roman" w:hAnsi="Times New Roman" w:cs="Times New Roman"/>
                <w:color w:val="2D2D2D"/>
                <w:sz w:val="21"/>
                <w:szCs w:val="21"/>
                <w:lang w:eastAsia="ru-RU"/>
              </w:rPr>
              <w:t>/</w:t>
            </w:r>
            <w:r w:rsidRPr="005E4CD6">
              <w:rPr>
                <w:rFonts w:ascii="Times New Roman" w:eastAsia="Times New Roman" w:hAnsi="Times New Roman" w:cs="Times New Roman"/>
                <w:noProof/>
                <w:color w:val="2D2D2D"/>
                <w:sz w:val="21"/>
                <w:szCs w:val="21"/>
                <w:lang w:eastAsia="ru-RU"/>
              </w:rPr>
              <w:drawing>
                <wp:inline distT="0" distB="0" distL="0" distR="0" wp14:anchorId="701F8F7F" wp14:editId="666F5058">
                  <wp:extent cx="1054100" cy="203200"/>
                  <wp:effectExtent l="0" t="0" r="0" b="6350"/>
                  <wp:docPr id="13" name="Рисунок 13" descr="Об утверждении Энергетической стратегии России на период до 203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 утверждении Энергетической стратегии России на период до 2030 год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4100" cy="203200"/>
                          </a:xfrm>
                          <a:prstGeom prst="rect">
                            <a:avLst/>
                          </a:prstGeom>
                          <a:noFill/>
                          <a:ln>
                            <a:noFill/>
                          </a:ln>
                        </pic:spPr>
                      </pic:pic>
                    </a:graphicData>
                  </a:graphic>
                </wp:inline>
              </w:drawing>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0,06</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0,05</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0,03</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0,01</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Обновление тепловых сетей (процентов общей протяженности сетей)</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10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40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90</w:t>
            </w:r>
          </w:p>
        </w:tc>
      </w:tr>
      <w:tr w:rsidR="005E4CD6" w:rsidRPr="005E4CD6" w:rsidTr="005E4CD6">
        <w:tc>
          <w:tcPr>
            <w:tcW w:w="12566"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Инновационное развитие теплоснабжения</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Доля систем, оснащенных новыми высокоэффективными технологиями эксплуатации (процентов)</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40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80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100</w:t>
            </w:r>
          </w:p>
        </w:tc>
      </w:tr>
      <w:tr w:rsidR="005E4CD6" w:rsidRPr="005E4CD6" w:rsidTr="005E4CD6">
        <w:tc>
          <w:tcPr>
            <w:tcW w:w="12566"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Эффективность теплоснабжения</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Коэффициент полезного использования тепла топлива на теплоэлектроцентралях</w:t>
            </w:r>
            <w:r w:rsidRPr="005E4CD6">
              <w:rPr>
                <w:rFonts w:ascii="Times New Roman" w:eastAsia="Times New Roman" w:hAnsi="Times New Roman" w:cs="Times New Roman"/>
                <w:color w:val="2D2D2D"/>
                <w:sz w:val="21"/>
                <w:szCs w:val="21"/>
                <w:lang w:eastAsia="ru-RU"/>
              </w:rPr>
              <w:br/>
              <w:t>(в процентах к 2005 году)</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15</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40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50</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Средний удельный расход топлива в котельных (в процентах к 2005 году)</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99</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98</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94</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90</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Повышение энергоэффективности</w:t>
            </w:r>
            <w:r w:rsidRPr="005E4CD6">
              <w:rPr>
                <w:rFonts w:ascii="Times New Roman" w:eastAsia="Times New Roman" w:hAnsi="Times New Roman" w:cs="Times New Roman"/>
                <w:color w:val="2D2D2D"/>
                <w:sz w:val="21"/>
                <w:szCs w:val="21"/>
                <w:lang w:eastAsia="ru-RU"/>
              </w:rPr>
              <w:br/>
              <w:t>зданий (в процентах к 2005 году)</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10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30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менее 50</w:t>
            </w:r>
          </w:p>
        </w:tc>
      </w:tr>
      <w:tr w:rsidR="005E4CD6" w:rsidRPr="005E4CD6" w:rsidTr="005E4CD6">
        <w:tc>
          <w:tcPr>
            <w:tcW w:w="517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Уровень тепловых потерь (процентов общего производства тепла)</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16</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13</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 более 8-10</w:t>
            </w:r>
          </w:p>
        </w:tc>
      </w:tr>
    </w:tbl>
    <w:p w:rsidR="005E4CD6" w:rsidRPr="005E4CD6" w:rsidRDefault="005E4CD6" w:rsidP="005E4CD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4CD6">
        <w:rPr>
          <w:rFonts w:ascii="Arial" w:eastAsia="Times New Roman" w:hAnsi="Arial" w:cs="Arial"/>
          <w:color w:val="4C4C4C"/>
          <w:spacing w:val="2"/>
          <w:sz w:val="38"/>
          <w:szCs w:val="38"/>
          <w:lang w:eastAsia="ru-RU"/>
        </w:rPr>
        <w:t>Приложение N 4. Прогнозный топливно-энергетический баланс России на период до 2030 года</w:t>
      </w:r>
    </w:p>
    <w:p w:rsidR="005E4CD6" w:rsidRPr="005E4CD6" w:rsidRDefault="005E4CD6" w:rsidP="005E4C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lastRenderedPageBreak/>
        <w:t>Приложение N 4</w:t>
      </w:r>
      <w:r w:rsidRPr="005E4CD6">
        <w:rPr>
          <w:rFonts w:ascii="Arial" w:eastAsia="Times New Roman" w:hAnsi="Arial" w:cs="Arial"/>
          <w:color w:val="2D2D2D"/>
          <w:spacing w:val="2"/>
          <w:sz w:val="21"/>
          <w:szCs w:val="21"/>
          <w:lang w:eastAsia="ru-RU"/>
        </w:rPr>
        <w:br/>
        <w:t>к Энергетической стратегии России на период до 2030 года</w:t>
      </w:r>
    </w:p>
    <w:tbl>
      <w:tblPr>
        <w:tblW w:w="0" w:type="auto"/>
        <w:tblCellMar>
          <w:left w:w="0" w:type="dxa"/>
          <w:right w:w="0" w:type="dxa"/>
        </w:tblCellMar>
        <w:tblLook w:val="04A0" w:firstRow="1" w:lastRow="0" w:firstColumn="1" w:lastColumn="0" w:noHBand="0" w:noVBand="1"/>
      </w:tblPr>
      <w:tblGrid>
        <w:gridCol w:w="2922"/>
        <w:gridCol w:w="1255"/>
        <w:gridCol w:w="1255"/>
        <w:gridCol w:w="1347"/>
        <w:gridCol w:w="1229"/>
        <w:gridCol w:w="1347"/>
      </w:tblGrid>
      <w:tr w:rsidR="005E4CD6" w:rsidRPr="005E4CD6" w:rsidTr="005E4CD6">
        <w:trPr>
          <w:trHeight w:val="12"/>
        </w:trPr>
        <w:tc>
          <w:tcPr>
            <w:tcW w:w="3696" w:type="dxa"/>
            <w:hideMark/>
          </w:tcPr>
          <w:p w:rsidR="005E4CD6" w:rsidRPr="005E4CD6" w:rsidRDefault="005E4CD6" w:rsidP="005E4CD6">
            <w:pPr>
              <w:spacing w:after="0" w:line="240" w:lineRule="auto"/>
              <w:rPr>
                <w:rFonts w:ascii="Arial" w:eastAsia="Times New Roman" w:hAnsi="Arial" w:cs="Arial"/>
                <w:color w:val="2D2D2D"/>
                <w:spacing w:val="2"/>
                <w:sz w:val="21"/>
                <w:szCs w:val="21"/>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2005 год</w:t>
            </w:r>
            <w:r w:rsidRPr="005E4CD6">
              <w:rPr>
                <w:rFonts w:ascii="Times New Roman" w:eastAsia="Times New Roman" w:hAnsi="Times New Roman" w:cs="Times New Roman"/>
                <w:color w:val="2D2D2D"/>
                <w:sz w:val="21"/>
                <w:szCs w:val="21"/>
                <w:lang w:eastAsia="ru-RU"/>
              </w:rPr>
              <w:br/>
              <w:t>(факт)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2008 год</w:t>
            </w:r>
            <w:r w:rsidRPr="005E4CD6">
              <w:rPr>
                <w:rFonts w:ascii="Times New Roman" w:eastAsia="Times New Roman" w:hAnsi="Times New Roman" w:cs="Times New Roman"/>
                <w:color w:val="2D2D2D"/>
                <w:sz w:val="21"/>
                <w:szCs w:val="21"/>
                <w:lang w:eastAsia="ru-RU"/>
              </w:rPr>
              <w:br/>
              <w:t>(факт)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w:t>
            </w:r>
            <w:r w:rsidRPr="005E4CD6">
              <w:rPr>
                <w:rFonts w:ascii="Times New Roman" w:eastAsia="Times New Roman" w:hAnsi="Times New Roman" w:cs="Times New Roman"/>
                <w:color w:val="2D2D2D"/>
                <w:sz w:val="21"/>
                <w:szCs w:val="21"/>
                <w:lang w:eastAsia="ru-RU"/>
              </w:rPr>
              <w:br/>
              <w:t>этап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w:t>
            </w:r>
            <w:r w:rsidRPr="005E4CD6">
              <w:rPr>
                <w:rFonts w:ascii="Times New Roman" w:eastAsia="Times New Roman" w:hAnsi="Times New Roman" w:cs="Times New Roman"/>
                <w:color w:val="2D2D2D"/>
                <w:sz w:val="21"/>
                <w:szCs w:val="21"/>
                <w:lang w:eastAsia="ru-RU"/>
              </w:rPr>
              <w:br/>
              <w:t>этап</w:t>
            </w: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w:t>
            </w:r>
            <w:r w:rsidRPr="005E4CD6">
              <w:rPr>
                <w:rFonts w:ascii="Times New Roman" w:eastAsia="Times New Roman" w:hAnsi="Times New Roman" w:cs="Times New Roman"/>
                <w:color w:val="2D2D2D"/>
                <w:sz w:val="21"/>
                <w:szCs w:val="21"/>
                <w:lang w:eastAsia="ru-RU"/>
              </w:rPr>
              <w:br/>
              <w:t>этап</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Внутреннее потребление (млн. тонн условного топлива)</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949</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991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1008-1107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1160-1250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1375-1565</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то же (процентов к 2005 году)</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104</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106-116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122-131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144-164</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 из общего потребления (млн.тонн условного топлива):</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газ</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495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526</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528-573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592-619</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656-696</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жидкие (нефть и конденсат)</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195-211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240-245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309-343</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твердое топливо</w:t>
            </w:r>
            <w:r w:rsidRPr="005E4CD6">
              <w:rPr>
                <w:rFonts w:ascii="Times New Roman" w:eastAsia="Times New Roman" w:hAnsi="Times New Roman" w:cs="Times New Roman"/>
                <w:color w:val="2D2D2D"/>
                <w:sz w:val="21"/>
                <w:szCs w:val="21"/>
                <w:lang w:eastAsia="ru-RU"/>
              </w:rPr>
              <w:br/>
              <w:t>(уголь и прочее)</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168-197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198-238</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248-302</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нетопливные</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117-127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130-147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163-224</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то же (процентов):</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газ</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52,2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53,1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51,8-52,3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49,5-51,1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44,5-47,7</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жидкие (нефть и конденсат)</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18,9</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19-19,4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19,6-20,7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21,9-22,5</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твердое топливо</w:t>
            </w:r>
            <w:r w:rsidRPr="005E4CD6">
              <w:rPr>
                <w:rFonts w:ascii="Times New Roman" w:eastAsia="Times New Roman" w:hAnsi="Times New Roman" w:cs="Times New Roman"/>
                <w:color w:val="2D2D2D"/>
                <w:sz w:val="21"/>
                <w:szCs w:val="21"/>
                <w:lang w:eastAsia="ru-RU"/>
              </w:rPr>
              <w:br/>
              <w:t>(уголь и прочее)</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16,7-17,8</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17,1-19,1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18-19,3</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нетопливные</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10,4</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11,5-11,6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11,2-11,8</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11,8-14,3</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Вывоз (млн.тонн</w:t>
            </w:r>
            <w:r w:rsidRPr="005E4CD6">
              <w:rPr>
                <w:rFonts w:ascii="Times New Roman" w:eastAsia="Times New Roman" w:hAnsi="Times New Roman" w:cs="Times New Roman"/>
                <w:color w:val="2D2D2D"/>
                <w:sz w:val="21"/>
                <w:szCs w:val="21"/>
                <w:lang w:eastAsia="ru-RU"/>
              </w:rPr>
              <w:br/>
              <w:t>условного топлива)</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865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883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913-943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978-1013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974-985</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СНГ</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162</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172-175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174-179</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153-171</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из них газ</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101-103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100-105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90-106</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дальнее зарубежье</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688</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720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741-768</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804-834</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803-832</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из них газ</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210-235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281-287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311-317</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Прирост запасов</w:t>
            </w:r>
            <w:r w:rsidRPr="005E4CD6">
              <w:rPr>
                <w:rFonts w:ascii="Times New Roman" w:eastAsia="Times New Roman" w:hAnsi="Times New Roman" w:cs="Times New Roman"/>
                <w:color w:val="2D2D2D"/>
                <w:sz w:val="21"/>
                <w:szCs w:val="21"/>
                <w:lang w:eastAsia="ru-RU"/>
              </w:rPr>
              <w:br/>
              <w:t>(млн.тонн условного топлива)</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Итого расход</w:t>
            </w:r>
            <w:r w:rsidRPr="005E4CD6">
              <w:rPr>
                <w:rFonts w:ascii="Times New Roman" w:eastAsia="Times New Roman" w:hAnsi="Times New Roman" w:cs="Times New Roman"/>
                <w:color w:val="2D2D2D"/>
                <w:sz w:val="21"/>
                <w:szCs w:val="21"/>
                <w:lang w:eastAsia="ru-RU"/>
              </w:rPr>
              <w:br/>
              <w:t>(млн.тонн условного топлива)</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1813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1884</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1923-2052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2140-2266</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2363-2542</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Ресурсы (млн.тонн условного топлива)</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1813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1884</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1923-2052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2140-2266</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2363-2542</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импорт</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96-100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92-93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86-87</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из них газ</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64</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76-80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79-80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80-81</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Производство - всего (млн. тонн условного топлива)</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1733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1803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1827-1952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2047-2173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2276-2456</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то же (в процентах к 2005 году)</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104</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105-113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118-125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131-142</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из общего производства (млн. тонн условного топлива):</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газ</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736,5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760,9</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784-853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919-958</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1015-1078</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жидкие (нефть и конденсат)</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667,2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694,2</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691-705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718-748</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760-761</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твердое топливо (уголь и прочее)</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202,8</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221,8</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212-260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246-311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282-381</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нетопливные</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126,5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126,1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134-140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156-164</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219-236</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то же (в процентах):</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газ</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42,5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42,2</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42,9-43,7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44,1-44,9</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43,9-44,6</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жидкие (нефть и конденсат)</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38,5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38,5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36,1-37,8</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34,4-35,1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31-33,4</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твердое топливо (уголь и прочее)</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11,6-13,3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12-14,3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12,4-15,5</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нетопливные</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6,9-7,7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7,2-8</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9,5-9,6</w:t>
            </w:r>
          </w:p>
        </w:tc>
      </w:tr>
    </w:tbl>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Прогноз поэтапного развития добычи нефти на период до 2030 года</w:t>
      </w:r>
    </w:p>
    <w:tbl>
      <w:tblPr>
        <w:tblW w:w="0" w:type="auto"/>
        <w:tblCellMar>
          <w:left w:w="0" w:type="dxa"/>
          <w:right w:w="0" w:type="dxa"/>
        </w:tblCellMar>
        <w:tblLook w:val="04A0" w:firstRow="1" w:lastRow="0" w:firstColumn="1" w:lastColumn="0" w:noHBand="0" w:noVBand="1"/>
      </w:tblPr>
      <w:tblGrid>
        <w:gridCol w:w="2941"/>
        <w:gridCol w:w="1251"/>
        <w:gridCol w:w="1251"/>
        <w:gridCol w:w="1421"/>
        <w:gridCol w:w="1187"/>
        <w:gridCol w:w="1304"/>
      </w:tblGrid>
      <w:tr w:rsidR="005E4CD6" w:rsidRPr="005E4CD6" w:rsidTr="005E4CD6">
        <w:trPr>
          <w:trHeight w:val="12"/>
        </w:trPr>
        <w:tc>
          <w:tcPr>
            <w:tcW w:w="3881" w:type="dxa"/>
            <w:hideMark/>
          </w:tcPr>
          <w:p w:rsidR="005E4CD6" w:rsidRPr="005E4CD6" w:rsidRDefault="005E4CD6" w:rsidP="005E4CD6">
            <w:pPr>
              <w:spacing w:after="0" w:line="240" w:lineRule="auto"/>
              <w:rPr>
                <w:rFonts w:ascii="Arial" w:eastAsia="Times New Roman" w:hAnsi="Arial" w:cs="Arial"/>
                <w:b/>
                <w:bCs/>
                <w:color w:val="242424"/>
                <w:spacing w:val="2"/>
                <w:sz w:val="31"/>
                <w:szCs w:val="31"/>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881"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2005 год</w:t>
            </w:r>
            <w:r w:rsidRPr="005E4CD6">
              <w:rPr>
                <w:rFonts w:ascii="Times New Roman" w:eastAsia="Times New Roman" w:hAnsi="Times New Roman" w:cs="Times New Roman"/>
                <w:color w:val="2D2D2D"/>
                <w:sz w:val="21"/>
                <w:szCs w:val="21"/>
                <w:lang w:eastAsia="ru-RU"/>
              </w:rPr>
              <w:br/>
              <w:t>(факт)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2008 год</w:t>
            </w:r>
            <w:r w:rsidRPr="005E4CD6">
              <w:rPr>
                <w:rFonts w:ascii="Times New Roman" w:eastAsia="Times New Roman" w:hAnsi="Times New Roman" w:cs="Times New Roman"/>
                <w:color w:val="2D2D2D"/>
                <w:sz w:val="21"/>
                <w:szCs w:val="21"/>
                <w:lang w:eastAsia="ru-RU"/>
              </w:rPr>
              <w:br/>
              <w:t>(факт)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w:t>
            </w:r>
            <w:r w:rsidRPr="005E4CD6">
              <w:rPr>
                <w:rFonts w:ascii="Times New Roman" w:eastAsia="Times New Roman" w:hAnsi="Times New Roman" w:cs="Times New Roman"/>
                <w:color w:val="2D2D2D"/>
                <w:sz w:val="21"/>
                <w:szCs w:val="21"/>
                <w:lang w:eastAsia="ru-RU"/>
              </w:rPr>
              <w:br/>
              <w:t>этап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w:t>
            </w:r>
            <w:r w:rsidRPr="005E4CD6">
              <w:rPr>
                <w:rFonts w:ascii="Times New Roman" w:eastAsia="Times New Roman" w:hAnsi="Times New Roman" w:cs="Times New Roman"/>
                <w:color w:val="2D2D2D"/>
                <w:sz w:val="21"/>
                <w:szCs w:val="21"/>
                <w:lang w:eastAsia="ru-RU"/>
              </w:rPr>
              <w:br/>
              <w:t>этап</w:t>
            </w: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w:t>
            </w:r>
            <w:r w:rsidRPr="005E4CD6">
              <w:rPr>
                <w:rFonts w:ascii="Times New Roman" w:eastAsia="Times New Roman" w:hAnsi="Times New Roman" w:cs="Times New Roman"/>
                <w:color w:val="2D2D2D"/>
                <w:sz w:val="21"/>
                <w:szCs w:val="21"/>
                <w:lang w:eastAsia="ru-RU"/>
              </w:rPr>
              <w:br/>
              <w:t>этап</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Добыча нефти - всего (млн.тонн)</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470,2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487,6</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486-495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505-525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530-535</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то же (в процентах к 2005 году)</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103,7</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103-105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107-112</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113-114</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 из общей добычи</w:t>
            </w:r>
            <w:r w:rsidRPr="005E4CD6">
              <w:rPr>
                <w:rFonts w:ascii="Times New Roman" w:eastAsia="Times New Roman" w:hAnsi="Times New Roman" w:cs="Times New Roman"/>
                <w:color w:val="2D2D2D"/>
                <w:sz w:val="21"/>
                <w:szCs w:val="21"/>
                <w:lang w:eastAsia="ru-RU"/>
              </w:rPr>
              <w:br/>
              <w:t>(млн.тонн):</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Север,</w:t>
            </w:r>
            <w:r w:rsidRPr="005E4CD6">
              <w:rPr>
                <w:rFonts w:ascii="Times New Roman" w:eastAsia="Times New Roman" w:hAnsi="Times New Roman" w:cs="Times New Roman"/>
                <w:color w:val="2D2D2D"/>
                <w:sz w:val="21"/>
                <w:szCs w:val="21"/>
                <w:lang w:eastAsia="ru-RU"/>
              </w:rPr>
              <w:br/>
              <w:t>Северо-Запад</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24,5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29,1</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32-35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35-36</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42-43</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Поволжье</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52,7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54,1</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49-50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44-45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34-36</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Урал</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49,2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52,6</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45-47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36-41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25-29</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Кавказ, Прикаспий</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4,9</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4,8</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7-11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19-20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21-22</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Тюменская область</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320,2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319</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282-297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275-300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291-292</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Томская область</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14,1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13,7</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12-13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11-12</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10-11</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Восточная Сибирь</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0,2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0,5</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21-33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41-52</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75-69</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Дальний Восток</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13,8</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23-25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30-31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32-33</w:t>
            </w:r>
          </w:p>
        </w:tc>
      </w:tr>
    </w:tbl>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Прогноз поэтапного развития переработки нефти и производства основных нефтепродуктов на период до 2030 года</w:t>
      </w:r>
    </w:p>
    <w:tbl>
      <w:tblPr>
        <w:tblW w:w="0" w:type="auto"/>
        <w:tblCellMar>
          <w:left w:w="0" w:type="dxa"/>
          <w:right w:w="0" w:type="dxa"/>
        </w:tblCellMar>
        <w:tblLook w:val="04A0" w:firstRow="1" w:lastRow="0" w:firstColumn="1" w:lastColumn="0" w:noHBand="0" w:noVBand="1"/>
      </w:tblPr>
      <w:tblGrid>
        <w:gridCol w:w="2888"/>
        <w:gridCol w:w="1259"/>
        <w:gridCol w:w="1498"/>
        <w:gridCol w:w="1197"/>
        <w:gridCol w:w="1197"/>
        <w:gridCol w:w="1316"/>
      </w:tblGrid>
      <w:tr w:rsidR="005E4CD6" w:rsidRPr="005E4CD6" w:rsidTr="005E4CD6">
        <w:trPr>
          <w:trHeight w:val="12"/>
        </w:trPr>
        <w:tc>
          <w:tcPr>
            <w:tcW w:w="3511" w:type="dxa"/>
            <w:hideMark/>
          </w:tcPr>
          <w:p w:rsidR="005E4CD6" w:rsidRPr="005E4CD6" w:rsidRDefault="005E4CD6" w:rsidP="005E4CD6">
            <w:pPr>
              <w:spacing w:after="0" w:line="240" w:lineRule="auto"/>
              <w:rPr>
                <w:rFonts w:ascii="Arial" w:eastAsia="Times New Roman" w:hAnsi="Arial" w:cs="Arial"/>
                <w:b/>
                <w:bCs/>
                <w:color w:val="242424"/>
                <w:spacing w:val="2"/>
                <w:sz w:val="31"/>
                <w:szCs w:val="31"/>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511"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2005 год</w:t>
            </w:r>
            <w:r w:rsidRPr="005E4CD6">
              <w:rPr>
                <w:rFonts w:ascii="Times New Roman" w:eastAsia="Times New Roman" w:hAnsi="Times New Roman" w:cs="Times New Roman"/>
                <w:color w:val="2D2D2D"/>
                <w:sz w:val="21"/>
                <w:szCs w:val="21"/>
                <w:lang w:eastAsia="ru-RU"/>
              </w:rPr>
              <w:br/>
              <w:t>(факт)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2008 год</w:t>
            </w:r>
            <w:r w:rsidRPr="005E4CD6">
              <w:rPr>
                <w:rFonts w:ascii="Times New Roman" w:eastAsia="Times New Roman" w:hAnsi="Times New Roman" w:cs="Times New Roman"/>
                <w:color w:val="2D2D2D"/>
                <w:sz w:val="21"/>
                <w:szCs w:val="21"/>
                <w:lang w:eastAsia="ru-RU"/>
              </w:rPr>
              <w:br/>
              <w:t>(факт)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w:t>
            </w:r>
            <w:r w:rsidRPr="005E4CD6">
              <w:rPr>
                <w:rFonts w:ascii="Times New Roman" w:eastAsia="Times New Roman" w:hAnsi="Times New Roman" w:cs="Times New Roman"/>
                <w:color w:val="2D2D2D"/>
                <w:sz w:val="21"/>
                <w:szCs w:val="21"/>
                <w:lang w:eastAsia="ru-RU"/>
              </w:rPr>
              <w:br/>
              <w:t>этап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w:t>
            </w:r>
            <w:r w:rsidRPr="005E4CD6">
              <w:rPr>
                <w:rFonts w:ascii="Times New Roman" w:eastAsia="Times New Roman" w:hAnsi="Times New Roman" w:cs="Times New Roman"/>
                <w:color w:val="2D2D2D"/>
                <w:sz w:val="21"/>
                <w:szCs w:val="21"/>
                <w:lang w:eastAsia="ru-RU"/>
              </w:rPr>
              <w:br/>
              <w:t>этап</w:t>
            </w: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w:t>
            </w:r>
            <w:r w:rsidRPr="005E4CD6">
              <w:rPr>
                <w:rFonts w:ascii="Times New Roman" w:eastAsia="Times New Roman" w:hAnsi="Times New Roman" w:cs="Times New Roman"/>
                <w:color w:val="2D2D2D"/>
                <w:sz w:val="21"/>
                <w:szCs w:val="21"/>
                <w:lang w:eastAsia="ru-RU"/>
              </w:rPr>
              <w:br/>
              <w:t>этап</w:t>
            </w:r>
          </w:p>
        </w:tc>
      </w:tr>
      <w:tr w:rsidR="005E4CD6" w:rsidRPr="005E4CD6" w:rsidTr="005E4CD6">
        <w:tc>
          <w:tcPr>
            <w:tcW w:w="351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Переработка - всего (млн.тонн)</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208</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237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232-239</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249-260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275-311</w:t>
            </w:r>
          </w:p>
        </w:tc>
      </w:tr>
      <w:tr w:rsidR="005E4CD6" w:rsidRPr="005E4CD6" w:rsidTr="005E4CD6">
        <w:tc>
          <w:tcPr>
            <w:tcW w:w="351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то же (в процентах к 2005 году)</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113,8</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112-115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120-125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132-150</w:t>
            </w:r>
          </w:p>
        </w:tc>
      </w:tr>
      <w:tr w:rsidR="005E4CD6" w:rsidRPr="005E4CD6" w:rsidTr="005E4CD6">
        <w:tc>
          <w:tcPr>
            <w:tcW w:w="351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Производство по видам нефтепродуктов (млн.тонн):</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51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моторные топлива</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100,2</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114,1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133-140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151-155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179-188</w:t>
            </w:r>
          </w:p>
        </w:tc>
      </w:tr>
      <w:tr w:rsidR="005E4CD6" w:rsidRPr="005E4CD6" w:rsidTr="005E4CD6">
        <w:tc>
          <w:tcPr>
            <w:tcW w:w="351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автобензин</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32</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35,8</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41-43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46-47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55-57</w:t>
            </w:r>
          </w:p>
        </w:tc>
      </w:tr>
      <w:tr w:rsidR="005E4CD6" w:rsidRPr="005E4CD6" w:rsidTr="005E4CD6">
        <w:tc>
          <w:tcPr>
            <w:tcW w:w="351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дизельное топливо</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69</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79-83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90-91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106-111</w:t>
            </w:r>
          </w:p>
        </w:tc>
      </w:tr>
      <w:tr w:rsidR="005E4CD6" w:rsidRPr="005E4CD6" w:rsidTr="005E4CD6">
        <w:tc>
          <w:tcPr>
            <w:tcW w:w="351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мазут</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56,7</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63,9</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48-50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40-42</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25-29</w:t>
            </w:r>
          </w:p>
        </w:tc>
      </w:tr>
    </w:tbl>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Прогноз потребности в капитальных вложениях для развития нефтяного комплекса на период до 2030 года</w:t>
      </w:r>
    </w:p>
    <w:tbl>
      <w:tblPr>
        <w:tblW w:w="0" w:type="auto"/>
        <w:tblCellMar>
          <w:left w:w="0" w:type="dxa"/>
          <w:right w:w="0" w:type="dxa"/>
        </w:tblCellMar>
        <w:tblLook w:val="04A0" w:firstRow="1" w:lastRow="0" w:firstColumn="1" w:lastColumn="0" w:noHBand="0" w:noVBand="1"/>
      </w:tblPr>
      <w:tblGrid>
        <w:gridCol w:w="3158"/>
        <w:gridCol w:w="1476"/>
        <w:gridCol w:w="1476"/>
        <w:gridCol w:w="1476"/>
        <w:gridCol w:w="1769"/>
      </w:tblGrid>
      <w:tr w:rsidR="005E4CD6" w:rsidRPr="005E4CD6" w:rsidTr="005E4CD6">
        <w:trPr>
          <w:trHeight w:val="12"/>
        </w:trPr>
        <w:tc>
          <w:tcPr>
            <w:tcW w:w="3696" w:type="dxa"/>
            <w:hideMark/>
          </w:tcPr>
          <w:p w:rsidR="005E4CD6" w:rsidRPr="005E4CD6" w:rsidRDefault="005E4CD6" w:rsidP="005E4CD6">
            <w:pPr>
              <w:spacing w:after="0" w:line="240" w:lineRule="auto"/>
              <w:rPr>
                <w:rFonts w:ascii="Arial" w:eastAsia="Times New Roman" w:hAnsi="Arial" w:cs="Arial"/>
                <w:b/>
                <w:bCs/>
                <w:color w:val="242424"/>
                <w:spacing w:val="2"/>
                <w:sz w:val="31"/>
                <w:szCs w:val="31"/>
                <w:lang w:eastAsia="ru-RU"/>
              </w:rPr>
            </w:pPr>
          </w:p>
        </w:tc>
        <w:tc>
          <w:tcPr>
            <w:tcW w:w="184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221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11458"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righ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(млрд. долларов США, в ценах 2007 года)</w:t>
            </w:r>
          </w:p>
        </w:tc>
      </w:tr>
      <w:tr w:rsidR="005E4CD6" w:rsidRPr="005E4CD6" w:rsidTr="005E4CD6">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Капиталовложения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w:t>
            </w:r>
            <w:r w:rsidRPr="005E4CD6">
              <w:rPr>
                <w:rFonts w:ascii="Times New Roman" w:eastAsia="Times New Roman" w:hAnsi="Times New Roman" w:cs="Times New Roman"/>
                <w:color w:val="2D2D2D"/>
                <w:sz w:val="21"/>
                <w:szCs w:val="21"/>
                <w:lang w:eastAsia="ru-RU"/>
              </w:rPr>
              <w:br/>
              <w:t>этап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w:t>
            </w:r>
            <w:r w:rsidRPr="005E4CD6">
              <w:rPr>
                <w:rFonts w:ascii="Times New Roman" w:eastAsia="Times New Roman" w:hAnsi="Times New Roman" w:cs="Times New Roman"/>
                <w:color w:val="2D2D2D"/>
                <w:sz w:val="21"/>
                <w:szCs w:val="21"/>
                <w:lang w:eastAsia="ru-RU"/>
              </w:rPr>
              <w:br/>
              <w:t>этап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w:t>
            </w:r>
            <w:r w:rsidRPr="005E4CD6">
              <w:rPr>
                <w:rFonts w:ascii="Times New Roman" w:eastAsia="Times New Roman" w:hAnsi="Times New Roman" w:cs="Times New Roman"/>
                <w:color w:val="2D2D2D"/>
                <w:sz w:val="21"/>
                <w:szCs w:val="21"/>
                <w:lang w:eastAsia="ru-RU"/>
              </w:rPr>
              <w:br/>
              <w:t>этап</w:t>
            </w:r>
          </w:p>
        </w:tc>
        <w:tc>
          <w:tcPr>
            <w:tcW w:w="221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Всего 2009-2030 годы</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Всего</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162-165</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134-139</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313-321</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609-625</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добыча с геолого- разведочными работами</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110-111</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109-112</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272-278</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491-501</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переработка</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21-22</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8-9</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18-19</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47-50</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транспорт</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31-32</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17-18</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23-24</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71-74</w:t>
            </w:r>
          </w:p>
        </w:tc>
      </w:tr>
    </w:tbl>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Прогноз поэтапного развития добычи газа на период до 2030 года</w:t>
      </w:r>
    </w:p>
    <w:tbl>
      <w:tblPr>
        <w:tblW w:w="0" w:type="auto"/>
        <w:tblCellMar>
          <w:left w:w="0" w:type="dxa"/>
          <w:right w:w="0" w:type="dxa"/>
        </w:tblCellMar>
        <w:tblLook w:val="04A0" w:firstRow="1" w:lastRow="0" w:firstColumn="1" w:lastColumn="0" w:noHBand="0" w:noVBand="1"/>
      </w:tblPr>
      <w:tblGrid>
        <w:gridCol w:w="3244"/>
        <w:gridCol w:w="1259"/>
        <w:gridCol w:w="1259"/>
        <w:gridCol w:w="1197"/>
        <w:gridCol w:w="1197"/>
        <w:gridCol w:w="1199"/>
      </w:tblGrid>
      <w:tr w:rsidR="005E4CD6" w:rsidRPr="005E4CD6" w:rsidTr="005E4CD6">
        <w:trPr>
          <w:trHeight w:val="12"/>
        </w:trPr>
        <w:tc>
          <w:tcPr>
            <w:tcW w:w="4066" w:type="dxa"/>
            <w:hideMark/>
          </w:tcPr>
          <w:p w:rsidR="005E4CD6" w:rsidRPr="005E4CD6" w:rsidRDefault="005E4CD6" w:rsidP="005E4CD6">
            <w:pPr>
              <w:spacing w:after="0" w:line="240" w:lineRule="auto"/>
              <w:rPr>
                <w:rFonts w:ascii="Arial" w:eastAsia="Times New Roman" w:hAnsi="Arial" w:cs="Arial"/>
                <w:b/>
                <w:bCs/>
                <w:color w:val="242424"/>
                <w:spacing w:val="2"/>
                <w:sz w:val="31"/>
                <w:szCs w:val="31"/>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11458" w:type="dxa"/>
            <w:gridSpan w:val="6"/>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righ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(млрд.куб.м)</w:t>
            </w:r>
          </w:p>
        </w:tc>
      </w:tr>
      <w:tr w:rsidR="005E4CD6" w:rsidRPr="005E4CD6" w:rsidTr="005E4CD6">
        <w:tc>
          <w:tcPr>
            <w:tcW w:w="406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2005 год</w:t>
            </w:r>
            <w:r w:rsidRPr="005E4CD6">
              <w:rPr>
                <w:rFonts w:ascii="Times New Roman" w:eastAsia="Times New Roman" w:hAnsi="Times New Roman" w:cs="Times New Roman"/>
                <w:color w:val="2D2D2D"/>
                <w:sz w:val="21"/>
                <w:szCs w:val="21"/>
                <w:lang w:eastAsia="ru-RU"/>
              </w:rPr>
              <w:br/>
              <w:t>(факт)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2008 год</w:t>
            </w:r>
            <w:r w:rsidRPr="005E4CD6">
              <w:rPr>
                <w:rFonts w:ascii="Times New Roman" w:eastAsia="Times New Roman" w:hAnsi="Times New Roman" w:cs="Times New Roman"/>
                <w:color w:val="2D2D2D"/>
                <w:sz w:val="21"/>
                <w:szCs w:val="21"/>
                <w:lang w:eastAsia="ru-RU"/>
              </w:rPr>
              <w:br/>
              <w:t>(факт)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w:t>
            </w:r>
            <w:r w:rsidRPr="005E4CD6">
              <w:rPr>
                <w:rFonts w:ascii="Times New Roman" w:eastAsia="Times New Roman" w:hAnsi="Times New Roman" w:cs="Times New Roman"/>
                <w:color w:val="2D2D2D"/>
                <w:sz w:val="21"/>
                <w:szCs w:val="21"/>
                <w:lang w:eastAsia="ru-RU"/>
              </w:rPr>
              <w:br/>
              <w:t>этап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w:t>
            </w:r>
            <w:r w:rsidRPr="005E4CD6">
              <w:rPr>
                <w:rFonts w:ascii="Times New Roman" w:eastAsia="Times New Roman" w:hAnsi="Times New Roman" w:cs="Times New Roman"/>
                <w:color w:val="2D2D2D"/>
                <w:sz w:val="21"/>
                <w:szCs w:val="21"/>
                <w:lang w:eastAsia="ru-RU"/>
              </w:rPr>
              <w:br/>
              <w:t>этап</w:t>
            </w:r>
          </w:p>
        </w:tc>
        <w:tc>
          <w:tcPr>
            <w:tcW w:w="147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w:t>
            </w:r>
            <w:r w:rsidRPr="005E4CD6">
              <w:rPr>
                <w:rFonts w:ascii="Times New Roman" w:eastAsia="Times New Roman" w:hAnsi="Times New Roman" w:cs="Times New Roman"/>
                <w:color w:val="2D2D2D"/>
                <w:sz w:val="21"/>
                <w:szCs w:val="21"/>
                <w:lang w:eastAsia="ru-RU"/>
              </w:rPr>
              <w:br/>
              <w:t>этап</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Добыча газа - всего</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641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664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685-745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803-837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885-940</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Тюменская область</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585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600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580-592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584-586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608-637</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 по районам:</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Надым - Пуртазовский</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582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592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531-559</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462-468</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317-323</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Обско-Тазовская губа</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0-7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20-21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67-68</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Большехетская впадина</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9-10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24-25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30-32</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Ямал</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12-44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72-76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185-220</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Томская область</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4-5</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Европейские районы</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54-91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116-119</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131-137</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Прикаспий</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8-20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20-22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21-22</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Штокмановское</w:t>
            </w:r>
            <w:r w:rsidRPr="005E4CD6">
              <w:rPr>
                <w:rFonts w:ascii="Times New Roman" w:eastAsia="Times New Roman" w:hAnsi="Times New Roman" w:cs="Times New Roman"/>
                <w:color w:val="2D2D2D"/>
                <w:sz w:val="21"/>
                <w:szCs w:val="21"/>
                <w:lang w:eastAsia="ru-RU"/>
              </w:rPr>
              <w:br/>
              <w:t>месторождение</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0-23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50-51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69-71</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Восточная Сибирь</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9-13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26-55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45-65</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Дальний Восток</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34-40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65-67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85-87</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остров Сахалин</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31-36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36-37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50-51</w:t>
            </w:r>
          </w:p>
        </w:tc>
      </w:tr>
    </w:tbl>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Прогноз потребности в капитальных вложениях для развития газовой промышленности на период до 2030 года</w:t>
      </w:r>
    </w:p>
    <w:tbl>
      <w:tblPr>
        <w:tblW w:w="0" w:type="auto"/>
        <w:tblCellMar>
          <w:left w:w="0" w:type="dxa"/>
          <w:right w:w="0" w:type="dxa"/>
        </w:tblCellMar>
        <w:tblLook w:val="04A0" w:firstRow="1" w:lastRow="0" w:firstColumn="1" w:lastColumn="0" w:noHBand="0" w:noVBand="1"/>
      </w:tblPr>
      <w:tblGrid>
        <w:gridCol w:w="3158"/>
        <w:gridCol w:w="1476"/>
        <w:gridCol w:w="1476"/>
        <w:gridCol w:w="1476"/>
        <w:gridCol w:w="1769"/>
      </w:tblGrid>
      <w:tr w:rsidR="005E4CD6" w:rsidRPr="005E4CD6" w:rsidTr="005E4CD6">
        <w:trPr>
          <w:trHeight w:val="12"/>
        </w:trPr>
        <w:tc>
          <w:tcPr>
            <w:tcW w:w="3696" w:type="dxa"/>
            <w:hideMark/>
          </w:tcPr>
          <w:p w:rsidR="005E4CD6" w:rsidRPr="005E4CD6" w:rsidRDefault="005E4CD6" w:rsidP="005E4CD6">
            <w:pPr>
              <w:spacing w:after="0" w:line="240" w:lineRule="auto"/>
              <w:rPr>
                <w:rFonts w:ascii="Arial" w:eastAsia="Times New Roman" w:hAnsi="Arial" w:cs="Arial"/>
                <w:b/>
                <w:bCs/>
                <w:color w:val="242424"/>
                <w:spacing w:val="2"/>
                <w:sz w:val="31"/>
                <w:szCs w:val="31"/>
                <w:lang w:eastAsia="ru-RU"/>
              </w:rPr>
            </w:pPr>
          </w:p>
        </w:tc>
        <w:tc>
          <w:tcPr>
            <w:tcW w:w="184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221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11458"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righ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(млрд. долларов США, в ценах 2007 года)</w:t>
            </w:r>
          </w:p>
        </w:tc>
      </w:tr>
      <w:tr w:rsidR="005E4CD6" w:rsidRPr="005E4CD6" w:rsidTr="005E4CD6">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Капиталовложения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w:t>
            </w:r>
            <w:r w:rsidRPr="005E4CD6">
              <w:rPr>
                <w:rFonts w:ascii="Times New Roman" w:eastAsia="Times New Roman" w:hAnsi="Times New Roman" w:cs="Times New Roman"/>
                <w:color w:val="2D2D2D"/>
                <w:sz w:val="21"/>
                <w:szCs w:val="21"/>
                <w:lang w:eastAsia="ru-RU"/>
              </w:rPr>
              <w:br/>
              <w:t>этап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w:t>
            </w:r>
            <w:r w:rsidRPr="005E4CD6">
              <w:rPr>
                <w:rFonts w:ascii="Times New Roman" w:eastAsia="Times New Roman" w:hAnsi="Times New Roman" w:cs="Times New Roman"/>
                <w:color w:val="2D2D2D"/>
                <w:sz w:val="21"/>
                <w:szCs w:val="21"/>
                <w:lang w:eastAsia="ru-RU"/>
              </w:rPr>
              <w:br/>
              <w:t>этап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w:t>
            </w:r>
            <w:r w:rsidRPr="005E4CD6">
              <w:rPr>
                <w:rFonts w:ascii="Times New Roman" w:eastAsia="Times New Roman" w:hAnsi="Times New Roman" w:cs="Times New Roman"/>
                <w:color w:val="2D2D2D"/>
                <w:sz w:val="21"/>
                <w:szCs w:val="21"/>
                <w:lang w:eastAsia="ru-RU"/>
              </w:rPr>
              <w:br/>
              <w:t>этап</w:t>
            </w:r>
          </w:p>
        </w:tc>
        <w:tc>
          <w:tcPr>
            <w:tcW w:w="221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Всего 2009 -2030 годы</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Всего</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150-155</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131-136</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284-299</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565-590</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добыча</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45-46</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43-45</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98-103</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186-194</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транспорт</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73-75</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63-65</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141-149</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277-289</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подземные хранилища газа, переработка, прочие</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32-34</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25-26</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45-47</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103-107</w:t>
            </w:r>
          </w:p>
        </w:tc>
      </w:tr>
    </w:tbl>
    <w:p w:rsidR="005E4CD6" w:rsidRPr="005E4CD6" w:rsidRDefault="005E4CD6" w:rsidP="005E4CD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5E4CD6">
        <w:rPr>
          <w:rFonts w:ascii="Arial" w:eastAsia="Times New Roman" w:hAnsi="Arial" w:cs="Arial"/>
          <w:color w:val="242424"/>
          <w:spacing w:val="2"/>
          <w:sz w:val="31"/>
          <w:szCs w:val="31"/>
          <w:lang w:eastAsia="ru-RU"/>
        </w:rPr>
        <w:t>Прогноз поэтапного развития добычи угля на период до 2030 года</w:t>
      </w:r>
    </w:p>
    <w:tbl>
      <w:tblPr>
        <w:tblW w:w="0" w:type="auto"/>
        <w:tblCellMar>
          <w:left w:w="0" w:type="dxa"/>
          <w:right w:w="0" w:type="dxa"/>
        </w:tblCellMar>
        <w:tblLook w:val="04A0" w:firstRow="1" w:lastRow="0" w:firstColumn="1" w:lastColumn="0" w:noHBand="0" w:noVBand="1"/>
      </w:tblPr>
      <w:tblGrid>
        <w:gridCol w:w="3200"/>
        <w:gridCol w:w="1267"/>
        <w:gridCol w:w="1388"/>
        <w:gridCol w:w="1207"/>
        <w:gridCol w:w="1086"/>
        <w:gridCol w:w="1207"/>
      </w:tblGrid>
      <w:tr w:rsidR="005E4CD6" w:rsidRPr="005E4CD6" w:rsidTr="005E4CD6">
        <w:trPr>
          <w:trHeight w:val="12"/>
        </w:trPr>
        <w:tc>
          <w:tcPr>
            <w:tcW w:w="4066" w:type="dxa"/>
            <w:hideMark/>
          </w:tcPr>
          <w:p w:rsidR="005E4CD6" w:rsidRPr="005E4CD6" w:rsidRDefault="005E4CD6" w:rsidP="005E4CD6">
            <w:pPr>
              <w:spacing w:after="0" w:line="240" w:lineRule="auto"/>
              <w:rPr>
                <w:rFonts w:ascii="Arial" w:eastAsia="Times New Roman" w:hAnsi="Arial" w:cs="Arial"/>
                <w:b/>
                <w:bCs/>
                <w:color w:val="242424"/>
                <w:spacing w:val="2"/>
                <w:sz w:val="31"/>
                <w:szCs w:val="31"/>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294"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11458" w:type="dxa"/>
            <w:gridSpan w:val="6"/>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righ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(млн.тонн)</w:t>
            </w:r>
          </w:p>
        </w:tc>
      </w:tr>
      <w:tr w:rsidR="005E4CD6" w:rsidRPr="005E4CD6" w:rsidTr="005E4CD6">
        <w:tc>
          <w:tcPr>
            <w:tcW w:w="406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2005 год (факт)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2008 год</w:t>
            </w:r>
            <w:r w:rsidRPr="005E4CD6">
              <w:rPr>
                <w:rFonts w:ascii="Times New Roman" w:eastAsia="Times New Roman" w:hAnsi="Times New Roman" w:cs="Times New Roman"/>
                <w:color w:val="2D2D2D"/>
                <w:sz w:val="21"/>
                <w:szCs w:val="21"/>
                <w:lang w:eastAsia="ru-RU"/>
              </w:rPr>
              <w:br/>
              <w:t>(факт)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w:t>
            </w:r>
            <w:r w:rsidRPr="005E4CD6">
              <w:rPr>
                <w:rFonts w:ascii="Times New Roman" w:eastAsia="Times New Roman" w:hAnsi="Times New Roman" w:cs="Times New Roman"/>
                <w:color w:val="2D2D2D"/>
                <w:sz w:val="21"/>
                <w:szCs w:val="21"/>
                <w:lang w:eastAsia="ru-RU"/>
              </w:rPr>
              <w:br/>
              <w:t>этап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w:t>
            </w:r>
            <w:r w:rsidRPr="005E4CD6">
              <w:rPr>
                <w:rFonts w:ascii="Times New Roman" w:eastAsia="Times New Roman" w:hAnsi="Times New Roman" w:cs="Times New Roman"/>
                <w:color w:val="2D2D2D"/>
                <w:sz w:val="21"/>
                <w:szCs w:val="21"/>
                <w:lang w:eastAsia="ru-RU"/>
              </w:rPr>
              <w:br/>
              <w:t>этап</w:t>
            </w:r>
          </w:p>
        </w:tc>
        <w:tc>
          <w:tcPr>
            <w:tcW w:w="147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w:t>
            </w:r>
            <w:r w:rsidRPr="005E4CD6">
              <w:rPr>
                <w:rFonts w:ascii="Times New Roman" w:eastAsia="Times New Roman" w:hAnsi="Times New Roman" w:cs="Times New Roman"/>
                <w:color w:val="2D2D2D"/>
                <w:sz w:val="21"/>
                <w:szCs w:val="21"/>
                <w:lang w:eastAsia="ru-RU"/>
              </w:rPr>
              <w:br/>
              <w:t>этап</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Добыча угля</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299</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326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314-350</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365-410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425-470</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из них коксующийся</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69</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70-84</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90-94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101-106</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Донецкий бассейн</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5-6</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7-8</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5-8</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Уральский бассейн</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2-3</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5-8</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Печорский бассейн</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12-13</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12-13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12-13</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Кузнецкий бассейн</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166</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174-186</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190-195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201-205</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Канско-Ачинский бассейн</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45-55</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55-87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90-115</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Восточная Сибирь</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40-46</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53-54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58-60</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Дальний Восток</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32</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32-38</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39-46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44-57</w:t>
            </w:r>
          </w:p>
        </w:tc>
      </w:tr>
    </w:tbl>
    <w:p w:rsidR="005E4CD6" w:rsidRPr="005E4CD6" w:rsidRDefault="005E4CD6" w:rsidP="005E4CD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4CD6">
        <w:rPr>
          <w:rFonts w:ascii="Arial" w:eastAsia="Times New Roman" w:hAnsi="Arial" w:cs="Arial"/>
          <w:color w:val="4C4C4C"/>
          <w:spacing w:val="2"/>
          <w:sz w:val="38"/>
          <w:szCs w:val="38"/>
          <w:lang w:eastAsia="ru-RU"/>
        </w:rPr>
        <w:t>Прогноз поэтапного развития производства электроэнергии на период до 2030 года</w:t>
      </w:r>
    </w:p>
    <w:tbl>
      <w:tblPr>
        <w:tblW w:w="0" w:type="auto"/>
        <w:tblCellMar>
          <w:left w:w="0" w:type="dxa"/>
          <w:right w:w="0" w:type="dxa"/>
        </w:tblCellMar>
        <w:tblLook w:val="04A0" w:firstRow="1" w:lastRow="0" w:firstColumn="1" w:lastColumn="0" w:noHBand="0" w:noVBand="1"/>
      </w:tblPr>
      <w:tblGrid>
        <w:gridCol w:w="3255"/>
        <w:gridCol w:w="1111"/>
        <w:gridCol w:w="1324"/>
        <w:gridCol w:w="1186"/>
        <w:gridCol w:w="1293"/>
        <w:gridCol w:w="1186"/>
      </w:tblGrid>
      <w:tr w:rsidR="005E4CD6" w:rsidRPr="005E4CD6" w:rsidTr="005E4CD6">
        <w:trPr>
          <w:trHeight w:val="12"/>
        </w:trPr>
        <w:tc>
          <w:tcPr>
            <w:tcW w:w="3881" w:type="dxa"/>
            <w:hideMark/>
          </w:tcPr>
          <w:p w:rsidR="005E4CD6" w:rsidRPr="005E4CD6" w:rsidRDefault="005E4CD6" w:rsidP="005E4CD6">
            <w:pPr>
              <w:spacing w:after="0" w:line="240" w:lineRule="auto"/>
              <w:rPr>
                <w:rFonts w:ascii="Arial" w:eastAsia="Times New Roman" w:hAnsi="Arial" w:cs="Arial"/>
                <w:b/>
                <w:bCs/>
                <w:color w:val="4C4C4C"/>
                <w:spacing w:val="2"/>
                <w:sz w:val="38"/>
                <w:szCs w:val="38"/>
                <w:lang w:eastAsia="ru-RU"/>
              </w:rPr>
            </w:pPr>
          </w:p>
        </w:tc>
        <w:tc>
          <w:tcPr>
            <w:tcW w:w="1294"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881"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2005 год</w:t>
            </w:r>
            <w:r w:rsidRPr="005E4CD6">
              <w:rPr>
                <w:rFonts w:ascii="Times New Roman" w:eastAsia="Times New Roman" w:hAnsi="Times New Roman" w:cs="Times New Roman"/>
                <w:color w:val="2D2D2D"/>
                <w:sz w:val="21"/>
                <w:szCs w:val="21"/>
                <w:lang w:eastAsia="ru-RU"/>
              </w:rPr>
              <w:br/>
              <w:t>(факт)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2008 год</w:t>
            </w:r>
            <w:r w:rsidRPr="005E4CD6">
              <w:rPr>
                <w:rFonts w:ascii="Times New Roman" w:eastAsia="Times New Roman" w:hAnsi="Times New Roman" w:cs="Times New Roman"/>
                <w:color w:val="2D2D2D"/>
                <w:sz w:val="21"/>
                <w:szCs w:val="21"/>
                <w:lang w:eastAsia="ru-RU"/>
              </w:rPr>
              <w:br/>
              <w:t>(факт)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w:t>
            </w:r>
            <w:r w:rsidRPr="005E4CD6">
              <w:rPr>
                <w:rFonts w:ascii="Times New Roman" w:eastAsia="Times New Roman" w:hAnsi="Times New Roman" w:cs="Times New Roman"/>
                <w:color w:val="2D2D2D"/>
                <w:sz w:val="21"/>
                <w:szCs w:val="21"/>
                <w:lang w:eastAsia="ru-RU"/>
              </w:rPr>
              <w:br/>
              <w:t>этап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w:t>
            </w:r>
            <w:r w:rsidRPr="005E4CD6">
              <w:rPr>
                <w:rFonts w:ascii="Times New Roman" w:eastAsia="Times New Roman" w:hAnsi="Times New Roman" w:cs="Times New Roman"/>
                <w:color w:val="2D2D2D"/>
                <w:sz w:val="21"/>
                <w:szCs w:val="21"/>
                <w:lang w:eastAsia="ru-RU"/>
              </w:rPr>
              <w:br/>
              <w:t>этап</w:t>
            </w:r>
          </w:p>
        </w:tc>
        <w:tc>
          <w:tcPr>
            <w:tcW w:w="147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w:t>
            </w:r>
            <w:r w:rsidRPr="005E4CD6">
              <w:rPr>
                <w:rFonts w:ascii="Times New Roman" w:eastAsia="Times New Roman" w:hAnsi="Times New Roman" w:cs="Times New Roman"/>
                <w:color w:val="2D2D2D"/>
                <w:sz w:val="21"/>
                <w:szCs w:val="21"/>
                <w:lang w:eastAsia="ru-RU"/>
              </w:rPr>
              <w:br/>
              <w:t>этап</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Потребление электроэнергии,</w:t>
            </w:r>
            <w:r w:rsidRPr="005E4CD6">
              <w:rPr>
                <w:rFonts w:ascii="Times New Roman" w:eastAsia="Times New Roman" w:hAnsi="Times New Roman" w:cs="Times New Roman"/>
                <w:color w:val="2D2D2D"/>
                <w:sz w:val="21"/>
                <w:szCs w:val="21"/>
                <w:lang w:eastAsia="ru-RU"/>
              </w:rPr>
              <w:br/>
              <w:t>внутренний спрос, (млрд.</w:t>
            </w:r>
            <w:r w:rsidRPr="005E4CD6">
              <w:rPr>
                <w:rFonts w:ascii="Times New Roman" w:eastAsia="Times New Roman" w:hAnsi="Times New Roman" w:cs="Times New Roman"/>
                <w:noProof/>
                <w:color w:val="2D2D2D"/>
                <w:sz w:val="21"/>
                <w:szCs w:val="21"/>
                <w:lang w:eastAsia="ru-RU"/>
              </w:rPr>
              <w:drawing>
                <wp:inline distT="0" distB="0" distL="0" distR="0" wp14:anchorId="05D0DF78" wp14:editId="0B27B0DE">
                  <wp:extent cx="457200" cy="158750"/>
                  <wp:effectExtent l="0" t="0" r="0" b="0"/>
                  <wp:docPr id="14" name="Рисунок 14" descr="Об утверждении Энергетической стратегии России на период до 203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Об утверждении Энергетической стратегии России на период до 2030 год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58750"/>
                          </a:xfrm>
                          <a:prstGeom prst="rect">
                            <a:avLst/>
                          </a:prstGeom>
                          <a:noFill/>
                          <a:ln>
                            <a:noFill/>
                          </a:ln>
                        </pic:spPr>
                      </pic:pic>
                    </a:graphicData>
                  </a:graphic>
                </wp:inline>
              </w:drawing>
            </w:r>
            <w:r w:rsidRPr="005E4CD6">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941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1021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1041-1218</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1315-1518</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1740-2164</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Экспорт электроэнергии,</w:t>
            </w:r>
            <w:r w:rsidRPr="005E4CD6">
              <w:rPr>
                <w:rFonts w:ascii="Times New Roman" w:eastAsia="Times New Roman" w:hAnsi="Times New Roman" w:cs="Times New Roman"/>
                <w:color w:val="2D2D2D"/>
                <w:sz w:val="21"/>
                <w:szCs w:val="21"/>
                <w:lang w:eastAsia="ru-RU"/>
              </w:rPr>
              <w:br/>
              <w:t>сальдо, (млрд.</w:t>
            </w:r>
            <w:r w:rsidRPr="005E4CD6">
              <w:rPr>
                <w:rFonts w:ascii="Times New Roman" w:eastAsia="Times New Roman" w:hAnsi="Times New Roman" w:cs="Times New Roman"/>
                <w:noProof/>
                <w:color w:val="2D2D2D"/>
                <w:sz w:val="21"/>
                <w:szCs w:val="21"/>
                <w:lang w:eastAsia="ru-RU"/>
              </w:rPr>
              <w:drawing>
                <wp:inline distT="0" distB="0" distL="0" distR="0" wp14:anchorId="3919BA76" wp14:editId="1CA9C49A">
                  <wp:extent cx="457200" cy="158750"/>
                  <wp:effectExtent l="0" t="0" r="0" b="0"/>
                  <wp:docPr id="15" name="Рисунок 15" descr="Об утверждении Энергетической стратегии России на период до 203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б утверждении Энергетической стратегии России на период до 2030 год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58750"/>
                          </a:xfrm>
                          <a:prstGeom prst="rect">
                            <a:avLst/>
                          </a:prstGeom>
                          <a:noFill/>
                          <a:ln>
                            <a:noFill/>
                          </a:ln>
                        </pic:spPr>
                      </pic:pic>
                    </a:graphicData>
                  </a:graphic>
                </wp:inline>
              </w:drawing>
            </w:r>
            <w:r w:rsidRPr="005E4CD6">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18-25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45-60</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Производство электроэнергии -</w:t>
            </w:r>
            <w:r w:rsidRPr="005E4CD6">
              <w:rPr>
                <w:rFonts w:ascii="Times New Roman" w:eastAsia="Times New Roman" w:hAnsi="Times New Roman" w:cs="Times New Roman"/>
                <w:color w:val="2D2D2D"/>
                <w:sz w:val="21"/>
                <w:szCs w:val="21"/>
                <w:lang w:eastAsia="ru-RU"/>
              </w:rPr>
              <w:br/>
              <w:t>всего (млрд.</w:t>
            </w:r>
            <w:r w:rsidRPr="005E4CD6">
              <w:rPr>
                <w:rFonts w:ascii="Times New Roman" w:eastAsia="Times New Roman" w:hAnsi="Times New Roman" w:cs="Times New Roman"/>
                <w:noProof/>
                <w:color w:val="2D2D2D"/>
                <w:sz w:val="21"/>
                <w:szCs w:val="21"/>
                <w:lang w:eastAsia="ru-RU"/>
              </w:rPr>
              <w:drawing>
                <wp:inline distT="0" distB="0" distL="0" distR="0" wp14:anchorId="2B131FBA" wp14:editId="78AD09F3">
                  <wp:extent cx="457200" cy="158750"/>
                  <wp:effectExtent l="0" t="0" r="0" b="0"/>
                  <wp:docPr id="16" name="Рисунок 16" descr="Об утверждении Энергетической стратегии России на период до 203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б утверждении Энергетической стратегии России на период до 2030 год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58750"/>
                          </a:xfrm>
                          <a:prstGeom prst="rect">
                            <a:avLst/>
                          </a:prstGeom>
                          <a:noFill/>
                          <a:ln>
                            <a:noFill/>
                          </a:ln>
                        </pic:spPr>
                      </pic:pic>
                    </a:graphicData>
                  </a:graphic>
                </wp:inline>
              </w:drawing>
            </w:r>
          </w:p>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953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1037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1059-1245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1350-1555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1800-2210</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атомные электростанции</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149</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194-220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247-282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356-437</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генерирующие объекты, использующие возобновляемые источники энергии, и гидроаккумулирующие электростанции</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167,5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181-199</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224-240</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319-422</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конденсационные электростанции</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277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322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299-423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432-592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620-873</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теплоэлектроцентрали</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352</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385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385-403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441-447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478-505</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Структура производства электроэнергии (процентов):</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атомные электростанции</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15,7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15,7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17,6-18,3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18,2-18,3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19,7-19,8</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генерирующие объекты, использующие возобновляемые источники энергии, и гидроаккумулирующие электростанции</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16-17,1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15,4-16,6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17,7-19,1</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конденсационные электростанции</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29,1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31,1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28,2-34</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32-38,1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34,4-39,5</w:t>
            </w:r>
          </w:p>
        </w:tc>
      </w:tr>
      <w:tr w:rsidR="005E4CD6" w:rsidRPr="005E4CD6" w:rsidTr="005E4CD6">
        <w:tc>
          <w:tcPr>
            <w:tcW w:w="3881"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теплоэлектроцентрали</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36,9</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37,1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32,4-36,4</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28,3-33,1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21,6-28,1</w:t>
            </w:r>
          </w:p>
        </w:tc>
      </w:tr>
    </w:tbl>
    <w:p w:rsidR="005E4CD6" w:rsidRPr="005E4CD6" w:rsidRDefault="005E4CD6" w:rsidP="005E4CD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4CD6">
        <w:rPr>
          <w:rFonts w:ascii="Arial" w:eastAsia="Times New Roman" w:hAnsi="Arial" w:cs="Arial"/>
          <w:color w:val="4C4C4C"/>
          <w:spacing w:val="2"/>
          <w:sz w:val="38"/>
          <w:szCs w:val="38"/>
          <w:lang w:eastAsia="ru-RU"/>
        </w:rPr>
        <w:t>Прогноз поэтапного изменения установленной мощности электростанций России по видам генерации на период до 2030 года</w:t>
      </w:r>
    </w:p>
    <w:tbl>
      <w:tblPr>
        <w:tblW w:w="0" w:type="auto"/>
        <w:tblCellMar>
          <w:left w:w="0" w:type="dxa"/>
          <w:right w:w="0" w:type="dxa"/>
        </w:tblCellMar>
        <w:tblLook w:val="04A0" w:firstRow="1" w:lastRow="0" w:firstColumn="1" w:lastColumn="0" w:noHBand="0" w:noVBand="1"/>
      </w:tblPr>
      <w:tblGrid>
        <w:gridCol w:w="3477"/>
        <w:gridCol w:w="1219"/>
        <w:gridCol w:w="1327"/>
        <w:gridCol w:w="1146"/>
        <w:gridCol w:w="1039"/>
        <w:gridCol w:w="1147"/>
      </w:tblGrid>
      <w:tr w:rsidR="005E4CD6" w:rsidRPr="005E4CD6" w:rsidTr="005E4CD6">
        <w:trPr>
          <w:trHeight w:val="12"/>
        </w:trPr>
        <w:tc>
          <w:tcPr>
            <w:tcW w:w="4250" w:type="dxa"/>
            <w:hideMark/>
          </w:tcPr>
          <w:p w:rsidR="005E4CD6" w:rsidRPr="005E4CD6" w:rsidRDefault="005E4CD6" w:rsidP="005E4CD6">
            <w:pPr>
              <w:spacing w:after="0" w:line="240" w:lineRule="auto"/>
              <w:rPr>
                <w:rFonts w:ascii="Arial" w:eastAsia="Times New Roman" w:hAnsi="Arial" w:cs="Arial"/>
                <w:b/>
                <w:bCs/>
                <w:color w:val="4C4C4C"/>
                <w:spacing w:val="2"/>
                <w:sz w:val="38"/>
                <w:szCs w:val="38"/>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294"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11642" w:type="dxa"/>
            <w:gridSpan w:val="6"/>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righ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(млн.кВт)</w:t>
            </w:r>
          </w:p>
        </w:tc>
      </w:tr>
      <w:tr w:rsidR="005E4CD6" w:rsidRPr="005E4CD6" w:rsidTr="005E4CD6">
        <w:tc>
          <w:tcPr>
            <w:tcW w:w="425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2005 год</w:t>
            </w:r>
            <w:r w:rsidRPr="005E4CD6">
              <w:rPr>
                <w:rFonts w:ascii="Times New Roman" w:eastAsia="Times New Roman" w:hAnsi="Times New Roman" w:cs="Times New Roman"/>
                <w:color w:val="2D2D2D"/>
                <w:sz w:val="21"/>
                <w:szCs w:val="21"/>
                <w:lang w:eastAsia="ru-RU"/>
              </w:rPr>
              <w:br/>
              <w:t>(факт)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2008 год</w:t>
            </w:r>
            <w:r w:rsidRPr="005E4CD6">
              <w:rPr>
                <w:rFonts w:ascii="Times New Roman" w:eastAsia="Times New Roman" w:hAnsi="Times New Roman" w:cs="Times New Roman"/>
                <w:color w:val="2D2D2D"/>
                <w:sz w:val="21"/>
                <w:szCs w:val="21"/>
                <w:lang w:eastAsia="ru-RU"/>
              </w:rPr>
              <w:br/>
              <w:t>(факт)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w:t>
            </w:r>
            <w:r w:rsidRPr="005E4CD6">
              <w:rPr>
                <w:rFonts w:ascii="Times New Roman" w:eastAsia="Times New Roman" w:hAnsi="Times New Roman" w:cs="Times New Roman"/>
                <w:color w:val="2D2D2D"/>
                <w:sz w:val="21"/>
                <w:szCs w:val="21"/>
                <w:lang w:eastAsia="ru-RU"/>
              </w:rPr>
              <w:br/>
              <w:t>этап</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w:t>
            </w:r>
            <w:r w:rsidRPr="005E4CD6">
              <w:rPr>
                <w:rFonts w:ascii="Times New Roman" w:eastAsia="Times New Roman" w:hAnsi="Times New Roman" w:cs="Times New Roman"/>
                <w:color w:val="2D2D2D"/>
                <w:sz w:val="21"/>
                <w:szCs w:val="21"/>
                <w:lang w:eastAsia="ru-RU"/>
              </w:rPr>
              <w:br/>
              <w:t>этап</w:t>
            </w:r>
          </w:p>
        </w:tc>
        <w:tc>
          <w:tcPr>
            <w:tcW w:w="147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w:t>
            </w:r>
            <w:r w:rsidRPr="005E4CD6">
              <w:rPr>
                <w:rFonts w:ascii="Times New Roman" w:eastAsia="Times New Roman" w:hAnsi="Times New Roman" w:cs="Times New Roman"/>
                <w:color w:val="2D2D2D"/>
                <w:sz w:val="21"/>
                <w:szCs w:val="21"/>
                <w:lang w:eastAsia="ru-RU"/>
              </w:rPr>
              <w:br/>
              <w:t>этап</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Установленная</w:t>
            </w:r>
            <w:r w:rsidRPr="005E4CD6">
              <w:rPr>
                <w:rFonts w:ascii="Times New Roman" w:eastAsia="Times New Roman" w:hAnsi="Times New Roman" w:cs="Times New Roman"/>
                <w:color w:val="2D2D2D"/>
                <w:sz w:val="21"/>
                <w:szCs w:val="21"/>
                <w:lang w:eastAsia="ru-RU"/>
              </w:rPr>
              <w:br/>
              <w:t>мощность - всего</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216,3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224,9</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239-267</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275-315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355-445</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атомные электростанции</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23,7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23,8</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28-33</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37-41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52-62</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генерирующие объекты, использующие возобновляемые источники энергии, и гидроаккумулирующие электростанции</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46,2</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47,2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55-59</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66-73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91-129</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конденсационные электростанции</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67,1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68,4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67-83</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73-103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100-148</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теплоэлектроцентрали</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79,3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85,5</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89-92</w:t>
            </w:r>
          </w:p>
        </w:tc>
        <w:tc>
          <w:tcPr>
            <w:tcW w:w="129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98-99</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106-112</w:t>
            </w:r>
          </w:p>
        </w:tc>
      </w:tr>
    </w:tbl>
    <w:p w:rsidR="005E4CD6" w:rsidRPr="005E4CD6" w:rsidRDefault="005E4CD6" w:rsidP="005E4CD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4CD6">
        <w:rPr>
          <w:rFonts w:ascii="Arial" w:eastAsia="Times New Roman" w:hAnsi="Arial" w:cs="Arial"/>
          <w:color w:val="4C4C4C"/>
          <w:spacing w:val="2"/>
          <w:sz w:val="38"/>
          <w:szCs w:val="38"/>
          <w:lang w:eastAsia="ru-RU"/>
        </w:rPr>
        <w:t>Прогноз потребности тепловых электростанций в топливе на период до 2030 года</w:t>
      </w:r>
    </w:p>
    <w:tbl>
      <w:tblPr>
        <w:tblW w:w="0" w:type="auto"/>
        <w:tblCellMar>
          <w:left w:w="0" w:type="dxa"/>
          <w:right w:w="0" w:type="dxa"/>
        </w:tblCellMar>
        <w:tblLook w:val="04A0" w:firstRow="1" w:lastRow="0" w:firstColumn="1" w:lastColumn="0" w:noHBand="0" w:noVBand="1"/>
      </w:tblPr>
      <w:tblGrid>
        <w:gridCol w:w="2886"/>
        <w:gridCol w:w="1379"/>
        <w:gridCol w:w="1259"/>
        <w:gridCol w:w="1317"/>
        <w:gridCol w:w="1197"/>
        <w:gridCol w:w="1317"/>
      </w:tblGrid>
      <w:tr w:rsidR="005E4CD6" w:rsidRPr="005E4CD6" w:rsidTr="005E4CD6">
        <w:trPr>
          <w:trHeight w:val="12"/>
        </w:trPr>
        <w:tc>
          <w:tcPr>
            <w:tcW w:w="3696" w:type="dxa"/>
            <w:hideMark/>
          </w:tcPr>
          <w:p w:rsidR="005E4CD6" w:rsidRPr="005E4CD6" w:rsidRDefault="005E4CD6" w:rsidP="005E4CD6">
            <w:pPr>
              <w:spacing w:after="0" w:line="240" w:lineRule="auto"/>
              <w:rPr>
                <w:rFonts w:ascii="Arial" w:eastAsia="Times New Roman" w:hAnsi="Arial" w:cs="Arial"/>
                <w:b/>
                <w:bCs/>
                <w:color w:val="4C4C4C"/>
                <w:spacing w:val="2"/>
                <w:sz w:val="38"/>
                <w:szCs w:val="38"/>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11642" w:type="dxa"/>
            <w:gridSpan w:val="6"/>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righ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(млн.тонн условного топлива)</w:t>
            </w:r>
          </w:p>
        </w:tc>
      </w:tr>
      <w:tr w:rsidR="005E4CD6" w:rsidRPr="005E4CD6" w:rsidTr="005E4CD6">
        <w:tc>
          <w:tcPr>
            <w:tcW w:w="369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2005 год</w:t>
            </w:r>
            <w:r w:rsidRPr="005E4CD6">
              <w:rPr>
                <w:rFonts w:ascii="Times New Roman" w:eastAsia="Times New Roman" w:hAnsi="Times New Roman" w:cs="Times New Roman"/>
                <w:color w:val="2D2D2D"/>
                <w:sz w:val="21"/>
                <w:szCs w:val="21"/>
                <w:lang w:eastAsia="ru-RU"/>
              </w:rPr>
              <w:br/>
              <w:t>(факт)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2008 год</w:t>
            </w:r>
            <w:r w:rsidRPr="005E4CD6">
              <w:rPr>
                <w:rFonts w:ascii="Times New Roman" w:eastAsia="Times New Roman" w:hAnsi="Times New Roman" w:cs="Times New Roman"/>
                <w:color w:val="2D2D2D"/>
                <w:sz w:val="21"/>
                <w:szCs w:val="21"/>
                <w:lang w:eastAsia="ru-RU"/>
              </w:rPr>
              <w:br/>
              <w:t>(факт)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w:t>
            </w:r>
            <w:r w:rsidRPr="005E4CD6">
              <w:rPr>
                <w:rFonts w:ascii="Times New Roman" w:eastAsia="Times New Roman" w:hAnsi="Times New Roman" w:cs="Times New Roman"/>
                <w:color w:val="2D2D2D"/>
                <w:sz w:val="21"/>
                <w:szCs w:val="21"/>
                <w:lang w:eastAsia="ru-RU"/>
              </w:rPr>
              <w:br/>
              <w:t>этап</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w:t>
            </w:r>
            <w:r w:rsidRPr="005E4CD6">
              <w:rPr>
                <w:rFonts w:ascii="Times New Roman" w:eastAsia="Times New Roman" w:hAnsi="Times New Roman" w:cs="Times New Roman"/>
                <w:color w:val="2D2D2D"/>
                <w:sz w:val="21"/>
                <w:szCs w:val="21"/>
                <w:lang w:eastAsia="ru-RU"/>
              </w:rPr>
              <w:br/>
              <w:t>этап</w:t>
            </w: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w:t>
            </w:r>
            <w:r w:rsidRPr="005E4CD6">
              <w:rPr>
                <w:rFonts w:ascii="Times New Roman" w:eastAsia="Times New Roman" w:hAnsi="Times New Roman" w:cs="Times New Roman"/>
                <w:color w:val="2D2D2D"/>
                <w:sz w:val="21"/>
                <w:szCs w:val="21"/>
                <w:lang w:eastAsia="ru-RU"/>
              </w:rPr>
              <w:br/>
              <w:t>этап</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Суммарная потребность в топливе</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286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304</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296-333</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348-388</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416-460</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газ</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194</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214</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210-222</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233-237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265-266</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твердое топливо (уголь и прочее)</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77</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79</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74-101</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97-137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131-185</w:t>
            </w:r>
          </w:p>
        </w:tc>
      </w:tr>
      <w:tr w:rsidR="005E4CD6" w:rsidRPr="005E4CD6" w:rsidTr="005E4CD6">
        <w:tc>
          <w:tcPr>
            <w:tcW w:w="369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мазут</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5-6</w:t>
            </w:r>
          </w:p>
        </w:tc>
        <w:tc>
          <w:tcPr>
            <w:tcW w:w="147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6-7</w:t>
            </w:r>
          </w:p>
        </w:tc>
      </w:tr>
    </w:tbl>
    <w:p w:rsidR="005E4CD6" w:rsidRPr="005E4CD6" w:rsidRDefault="005E4CD6" w:rsidP="005E4CD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4CD6">
        <w:rPr>
          <w:rFonts w:ascii="Arial" w:eastAsia="Times New Roman" w:hAnsi="Arial" w:cs="Arial"/>
          <w:color w:val="4C4C4C"/>
          <w:spacing w:val="2"/>
          <w:sz w:val="38"/>
          <w:szCs w:val="38"/>
          <w:lang w:eastAsia="ru-RU"/>
        </w:rPr>
        <w:lastRenderedPageBreak/>
        <w:t>Прогноз капитальных вложений, необходимых для развития электроэнергетики России на период до 2030 года</w:t>
      </w:r>
    </w:p>
    <w:tbl>
      <w:tblPr>
        <w:tblW w:w="0" w:type="auto"/>
        <w:tblCellMar>
          <w:left w:w="0" w:type="dxa"/>
          <w:right w:w="0" w:type="dxa"/>
        </w:tblCellMar>
        <w:tblLook w:val="04A0" w:firstRow="1" w:lastRow="0" w:firstColumn="1" w:lastColumn="0" w:noHBand="0" w:noVBand="1"/>
      </w:tblPr>
      <w:tblGrid>
        <w:gridCol w:w="3471"/>
        <w:gridCol w:w="1432"/>
        <w:gridCol w:w="1551"/>
        <w:gridCol w:w="1432"/>
        <w:gridCol w:w="1469"/>
      </w:tblGrid>
      <w:tr w:rsidR="005E4CD6" w:rsidRPr="005E4CD6" w:rsidTr="005E4CD6">
        <w:trPr>
          <w:trHeight w:val="12"/>
        </w:trPr>
        <w:tc>
          <w:tcPr>
            <w:tcW w:w="4066" w:type="dxa"/>
            <w:hideMark/>
          </w:tcPr>
          <w:p w:rsidR="005E4CD6" w:rsidRPr="005E4CD6" w:rsidRDefault="005E4CD6" w:rsidP="005E4CD6">
            <w:pPr>
              <w:spacing w:after="0" w:line="240" w:lineRule="auto"/>
              <w:rPr>
                <w:rFonts w:ascii="Arial" w:eastAsia="Times New Roman" w:hAnsi="Arial" w:cs="Arial"/>
                <w:b/>
                <w:bCs/>
                <w:color w:val="4C4C4C"/>
                <w:spacing w:val="2"/>
                <w:sz w:val="38"/>
                <w:szCs w:val="38"/>
                <w:lang w:eastAsia="ru-RU"/>
              </w:rPr>
            </w:pPr>
          </w:p>
        </w:tc>
        <w:tc>
          <w:tcPr>
            <w:tcW w:w="184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203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11642"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righ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(млрд. долларов США, в ценах 2007 года)</w:t>
            </w:r>
          </w:p>
        </w:tc>
      </w:tr>
      <w:tr w:rsidR="005E4CD6" w:rsidRPr="005E4CD6" w:rsidTr="005E4CD6">
        <w:tc>
          <w:tcPr>
            <w:tcW w:w="406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w:t>
            </w:r>
            <w:r w:rsidRPr="005E4CD6">
              <w:rPr>
                <w:rFonts w:ascii="Times New Roman" w:eastAsia="Times New Roman" w:hAnsi="Times New Roman" w:cs="Times New Roman"/>
                <w:color w:val="2D2D2D"/>
                <w:sz w:val="21"/>
                <w:szCs w:val="21"/>
                <w:lang w:eastAsia="ru-RU"/>
              </w:rPr>
              <w:br/>
              <w:t>этап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w:t>
            </w:r>
            <w:r w:rsidRPr="005E4CD6">
              <w:rPr>
                <w:rFonts w:ascii="Times New Roman" w:eastAsia="Times New Roman" w:hAnsi="Times New Roman" w:cs="Times New Roman"/>
                <w:color w:val="2D2D2D"/>
                <w:sz w:val="21"/>
                <w:szCs w:val="21"/>
                <w:lang w:eastAsia="ru-RU"/>
              </w:rPr>
              <w:br/>
              <w:t>этап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w:t>
            </w:r>
            <w:r w:rsidRPr="005E4CD6">
              <w:rPr>
                <w:rFonts w:ascii="Times New Roman" w:eastAsia="Times New Roman" w:hAnsi="Times New Roman" w:cs="Times New Roman"/>
                <w:color w:val="2D2D2D"/>
                <w:sz w:val="21"/>
                <w:szCs w:val="21"/>
                <w:lang w:eastAsia="ru-RU"/>
              </w:rPr>
              <w:br/>
              <w:t>этап</w:t>
            </w:r>
          </w:p>
        </w:tc>
        <w:tc>
          <w:tcPr>
            <w:tcW w:w="184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2009-2030 годы - всего</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Капиталовложения в электроэнергетику</w:t>
            </w:r>
            <w:r w:rsidRPr="005E4CD6">
              <w:rPr>
                <w:rFonts w:ascii="Times New Roman" w:eastAsia="Times New Roman" w:hAnsi="Times New Roman" w:cs="Times New Roman"/>
                <w:color w:val="2D2D2D"/>
                <w:sz w:val="21"/>
                <w:szCs w:val="21"/>
                <w:lang w:eastAsia="ru-RU"/>
              </w:rPr>
              <w:br/>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122-126</w:t>
            </w:r>
          </w:p>
        </w:tc>
        <w:tc>
          <w:tcPr>
            <w:tcW w:w="203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110-233</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340-529</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572-888</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атомные электростанции</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29-30</w:t>
            </w:r>
          </w:p>
        </w:tc>
        <w:tc>
          <w:tcPr>
            <w:tcW w:w="203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13-28</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58-81</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100-139</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гидроэлектростанции мощностью более 25 МВт и гидроаккумулирующие электростанции</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17-18</w:t>
            </w:r>
          </w:p>
        </w:tc>
        <w:tc>
          <w:tcPr>
            <w:tcW w:w="203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8-15</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30-92</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55-125</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тепловые электростанции (конденсационные электростанции и теплоэлектроцентрали)</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32-33</w:t>
            </w:r>
          </w:p>
        </w:tc>
        <w:tc>
          <w:tcPr>
            <w:tcW w:w="203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46-112</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122-145</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200-290</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сети</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44-45</w:t>
            </w:r>
          </w:p>
        </w:tc>
        <w:tc>
          <w:tcPr>
            <w:tcW w:w="203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43-78</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130-211</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217-334</w:t>
            </w:r>
          </w:p>
        </w:tc>
      </w:tr>
    </w:tbl>
    <w:p w:rsidR="005E4CD6" w:rsidRPr="005E4CD6" w:rsidRDefault="005E4CD6" w:rsidP="005E4CD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4CD6">
        <w:rPr>
          <w:rFonts w:ascii="Arial" w:eastAsia="Times New Roman" w:hAnsi="Arial" w:cs="Arial"/>
          <w:color w:val="4C4C4C"/>
          <w:spacing w:val="2"/>
          <w:sz w:val="38"/>
          <w:szCs w:val="38"/>
          <w:lang w:eastAsia="ru-RU"/>
        </w:rPr>
        <w:t>Прогноз поэтапного изменения сводного баланса тепла России на период до 2030 года</w:t>
      </w:r>
    </w:p>
    <w:tbl>
      <w:tblPr>
        <w:tblW w:w="0" w:type="auto"/>
        <w:tblCellMar>
          <w:left w:w="0" w:type="dxa"/>
          <w:right w:w="0" w:type="dxa"/>
        </w:tblCellMar>
        <w:tblLook w:val="04A0" w:firstRow="1" w:lastRow="0" w:firstColumn="1" w:lastColumn="0" w:noHBand="0" w:noVBand="1"/>
      </w:tblPr>
      <w:tblGrid>
        <w:gridCol w:w="2888"/>
        <w:gridCol w:w="1312"/>
        <w:gridCol w:w="1312"/>
        <w:gridCol w:w="1281"/>
        <w:gridCol w:w="1281"/>
        <w:gridCol w:w="1281"/>
      </w:tblGrid>
      <w:tr w:rsidR="005E4CD6" w:rsidRPr="005E4CD6" w:rsidTr="005E4CD6">
        <w:trPr>
          <w:trHeight w:val="12"/>
        </w:trPr>
        <w:tc>
          <w:tcPr>
            <w:tcW w:w="3326" w:type="dxa"/>
            <w:hideMark/>
          </w:tcPr>
          <w:p w:rsidR="005E4CD6" w:rsidRPr="005E4CD6" w:rsidRDefault="005E4CD6" w:rsidP="005E4CD6">
            <w:pPr>
              <w:spacing w:after="0" w:line="240" w:lineRule="auto"/>
              <w:rPr>
                <w:rFonts w:ascii="Arial" w:eastAsia="Times New Roman" w:hAnsi="Arial" w:cs="Arial"/>
                <w:b/>
                <w:bCs/>
                <w:color w:val="4C4C4C"/>
                <w:spacing w:val="2"/>
                <w:sz w:val="38"/>
                <w:szCs w:val="38"/>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11642" w:type="dxa"/>
            <w:gridSpan w:val="6"/>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righ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(млн.Гкал)</w:t>
            </w:r>
          </w:p>
        </w:tc>
      </w:tr>
      <w:tr w:rsidR="005E4CD6" w:rsidRPr="005E4CD6" w:rsidTr="005E4CD6">
        <w:tc>
          <w:tcPr>
            <w:tcW w:w="3326"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2005 год</w:t>
            </w:r>
            <w:r w:rsidRPr="005E4CD6">
              <w:rPr>
                <w:rFonts w:ascii="Times New Roman" w:eastAsia="Times New Roman" w:hAnsi="Times New Roman" w:cs="Times New Roman"/>
                <w:color w:val="2D2D2D"/>
                <w:sz w:val="21"/>
                <w:szCs w:val="21"/>
                <w:lang w:eastAsia="ru-RU"/>
              </w:rPr>
              <w:br/>
              <w:t>(факт)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2008 год</w:t>
            </w:r>
            <w:r w:rsidRPr="005E4CD6">
              <w:rPr>
                <w:rFonts w:ascii="Times New Roman" w:eastAsia="Times New Roman" w:hAnsi="Times New Roman" w:cs="Times New Roman"/>
                <w:color w:val="2D2D2D"/>
                <w:sz w:val="21"/>
                <w:szCs w:val="21"/>
                <w:lang w:eastAsia="ru-RU"/>
              </w:rPr>
              <w:br/>
              <w:t>(факт)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w:t>
            </w:r>
            <w:r w:rsidRPr="005E4CD6">
              <w:rPr>
                <w:rFonts w:ascii="Times New Roman" w:eastAsia="Times New Roman" w:hAnsi="Times New Roman" w:cs="Times New Roman"/>
                <w:color w:val="2D2D2D"/>
                <w:sz w:val="21"/>
                <w:szCs w:val="21"/>
                <w:lang w:eastAsia="ru-RU"/>
              </w:rPr>
              <w:br/>
              <w:t>этап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w:t>
            </w:r>
            <w:r w:rsidRPr="005E4CD6">
              <w:rPr>
                <w:rFonts w:ascii="Times New Roman" w:eastAsia="Times New Roman" w:hAnsi="Times New Roman" w:cs="Times New Roman"/>
                <w:color w:val="2D2D2D"/>
                <w:sz w:val="21"/>
                <w:szCs w:val="21"/>
                <w:lang w:eastAsia="ru-RU"/>
              </w:rPr>
              <w:br/>
              <w:t>этап</w:t>
            </w:r>
          </w:p>
        </w:tc>
        <w:tc>
          <w:tcPr>
            <w:tcW w:w="1663"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w:t>
            </w:r>
            <w:r w:rsidRPr="005E4CD6">
              <w:rPr>
                <w:rFonts w:ascii="Times New Roman" w:eastAsia="Times New Roman" w:hAnsi="Times New Roman" w:cs="Times New Roman"/>
                <w:color w:val="2D2D2D"/>
                <w:sz w:val="21"/>
                <w:szCs w:val="21"/>
                <w:lang w:eastAsia="ru-RU"/>
              </w:rPr>
              <w:br/>
              <w:t>этап</w:t>
            </w:r>
          </w:p>
        </w:tc>
      </w:tr>
      <w:tr w:rsidR="005E4CD6" w:rsidRPr="005E4CD6" w:rsidTr="005E4CD6">
        <w:tc>
          <w:tcPr>
            <w:tcW w:w="332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Производство - всего</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1977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1938</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1899-1975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1975-2030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2130-2150</w:t>
            </w:r>
          </w:p>
        </w:tc>
      </w:tr>
      <w:tr w:rsidR="005E4CD6" w:rsidRPr="005E4CD6" w:rsidTr="005E4CD6">
        <w:tc>
          <w:tcPr>
            <w:tcW w:w="332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Централизованные источники теплоснабжения</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1431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1380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1369-1425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1465-1500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1610-1620</w:t>
            </w:r>
          </w:p>
        </w:tc>
      </w:tr>
      <w:tr w:rsidR="005E4CD6" w:rsidRPr="005E4CD6" w:rsidTr="005E4CD6">
        <w:tc>
          <w:tcPr>
            <w:tcW w:w="332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32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электростанции</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628</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601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601-620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680-690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785-830</w:t>
            </w:r>
          </w:p>
        </w:tc>
      </w:tr>
      <w:tr w:rsidR="005E4CD6" w:rsidRPr="005E4CD6" w:rsidTr="005E4CD6">
        <w:tc>
          <w:tcPr>
            <w:tcW w:w="332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центральные котельные</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701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676</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661-688</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659-686</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640-654</w:t>
            </w:r>
          </w:p>
        </w:tc>
      </w:tr>
      <w:tr w:rsidR="005E4CD6" w:rsidRPr="005E4CD6" w:rsidTr="005E4CD6">
        <w:tc>
          <w:tcPr>
            <w:tcW w:w="332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атомные теплоэлектроцентрали и атомные станции теплоснабжения</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4-6</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6-8</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12-15</w:t>
            </w:r>
          </w:p>
        </w:tc>
      </w:tr>
      <w:tr w:rsidR="005E4CD6" w:rsidRPr="005E4CD6" w:rsidTr="005E4CD6">
        <w:tc>
          <w:tcPr>
            <w:tcW w:w="332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вторичные энергоресурсы</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93</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98-107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107-116</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118-135</w:t>
            </w:r>
          </w:p>
        </w:tc>
      </w:tr>
      <w:tr w:rsidR="005E4CD6" w:rsidRPr="005E4CD6" w:rsidTr="005E4CD6">
        <w:tc>
          <w:tcPr>
            <w:tcW w:w="332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нетрадиционные источники</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4-10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6-35</w:t>
            </w:r>
          </w:p>
        </w:tc>
      </w:tr>
      <w:tr w:rsidR="005E4CD6" w:rsidRPr="005E4CD6" w:rsidTr="005E4CD6">
        <w:tc>
          <w:tcPr>
            <w:tcW w:w="332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децентрализованные источники теплоснабжения</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541</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537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530-550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510-530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510-540</w:t>
            </w:r>
          </w:p>
        </w:tc>
      </w:tr>
      <w:tr w:rsidR="005E4CD6" w:rsidRPr="005E4CD6" w:rsidTr="005E4CD6">
        <w:tc>
          <w:tcPr>
            <w:tcW w:w="332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332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котельные</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192</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187</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180-190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150-160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140-150</w:t>
            </w:r>
          </w:p>
        </w:tc>
      </w:tr>
      <w:tr w:rsidR="005E4CD6" w:rsidRPr="005E4CD6" w:rsidTr="005E4CD6">
        <w:tc>
          <w:tcPr>
            <w:tcW w:w="332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автономные источники</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349</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350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350-360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360-370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370-390</w:t>
            </w:r>
          </w:p>
        </w:tc>
      </w:tr>
      <w:tr w:rsidR="005E4CD6" w:rsidRPr="005E4CD6" w:rsidTr="005E4CD6">
        <w:tc>
          <w:tcPr>
            <w:tcW w:w="332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Потери тепловой энергии - всего</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355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334</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310-320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230-270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180-190</w:t>
            </w:r>
          </w:p>
        </w:tc>
      </w:tr>
      <w:tr w:rsidR="005E4CD6" w:rsidRPr="005E4CD6" w:rsidTr="005E4CD6">
        <w:tc>
          <w:tcPr>
            <w:tcW w:w="332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Потребление - всего</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1622</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1604</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1589-1655</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1745-1760</w:t>
            </w:r>
          </w:p>
        </w:tc>
        <w:tc>
          <w:tcPr>
            <w:tcW w:w="1663"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1950-1960</w:t>
            </w:r>
          </w:p>
        </w:tc>
      </w:tr>
    </w:tbl>
    <w:p w:rsidR="005E4CD6" w:rsidRPr="005E4CD6" w:rsidRDefault="005E4CD6" w:rsidP="005E4CD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4CD6">
        <w:rPr>
          <w:rFonts w:ascii="Arial" w:eastAsia="Times New Roman" w:hAnsi="Arial" w:cs="Arial"/>
          <w:color w:val="4C4C4C"/>
          <w:spacing w:val="2"/>
          <w:sz w:val="38"/>
          <w:szCs w:val="38"/>
          <w:lang w:eastAsia="ru-RU"/>
        </w:rPr>
        <w:t>Прогноз необходимых инвестиций в развитие топливно-энергетического комплекса и энергоснабжение экономики России на период до 2030 года</w:t>
      </w:r>
    </w:p>
    <w:tbl>
      <w:tblPr>
        <w:tblW w:w="0" w:type="auto"/>
        <w:tblCellMar>
          <w:left w:w="0" w:type="dxa"/>
          <w:right w:w="0" w:type="dxa"/>
        </w:tblCellMar>
        <w:tblLook w:val="04A0" w:firstRow="1" w:lastRow="0" w:firstColumn="1" w:lastColumn="0" w:noHBand="0" w:noVBand="1"/>
      </w:tblPr>
      <w:tblGrid>
        <w:gridCol w:w="3475"/>
        <w:gridCol w:w="1453"/>
        <w:gridCol w:w="1453"/>
        <w:gridCol w:w="1487"/>
        <w:gridCol w:w="1487"/>
      </w:tblGrid>
      <w:tr w:rsidR="005E4CD6" w:rsidRPr="005E4CD6" w:rsidTr="005E4CD6">
        <w:trPr>
          <w:trHeight w:val="12"/>
        </w:trPr>
        <w:tc>
          <w:tcPr>
            <w:tcW w:w="4250" w:type="dxa"/>
            <w:hideMark/>
          </w:tcPr>
          <w:p w:rsidR="005E4CD6" w:rsidRPr="005E4CD6" w:rsidRDefault="005E4CD6" w:rsidP="005E4CD6">
            <w:pPr>
              <w:spacing w:after="0" w:line="240" w:lineRule="auto"/>
              <w:rPr>
                <w:rFonts w:ascii="Arial" w:eastAsia="Times New Roman" w:hAnsi="Arial" w:cs="Arial"/>
                <w:b/>
                <w:bCs/>
                <w:color w:val="4C4C4C"/>
                <w:spacing w:val="2"/>
                <w:sz w:val="38"/>
                <w:szCs w:val="38"/>
                <w:lang w:eastAsia="ru-RU"/>
              </w:rPr>
            </w:pPr>
          </w:p>
        </w:tc>
        <w:tc>
          <w:tcPr>
            <w:tcW w:w="184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11642" w:type="dxa"/>
            <w:gridSpan w:val="5"/>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righ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(млрд.долларов США, в ценах 2007 года)</w:t>
            </w:r>
          </w:p>
        </w:tc>
      </w:tr>
      <w:tr w:rsidR="005E4CD6" w:rsidRPr="005E4CD6" w:rsidTr="005E4CD6">
        <w:tc>
          <w:tcPr>
            <w:tcW w:w="425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w:t>
            </w:r>
            <w:r w:rsidRPr="005E4CD6">
              <w:rPr>
                <w:rFonts w:ascii="Times New Roman" w:eastAsia="Times New Roman" w:hAnsi="Times New Roman" w:cs="Times New Roman"/>
                <w:color w:val="2D2D2D"/>
                <w:sz w:val="21"/>
                <w:szCs w:val="21"/>
                <w:lang w:eastAsia="ru-RU"/>
              </w:rPr>
              <w:br/>
              <w:t>этап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w:t>
            </w:r>
            <w:r w:rsidRPr="005E4CD6">
              <w:rPr>
                <w:rFonts w:ascii="Times New Roman" w:eastAsia="Times New Roman" w:hAnsi="Times New Roman" w:cs="Times New Roman"/>
                <w:color w:val="2D2D2D"/>
                <w:sz w:val="21"/>
                <w:szCs w:val="21"/>
                <w:lang w:eastAsia="ru-RU"/>
              </w:rPr>
              <w:br/>
              <w:t>этап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w:t>
            </w:r>
            <w:r w:rsidRPr="005E4CD6">
              <w:rPr>
                <w:rFonts w:ascii="Times New Roman" w:eastAsia="Times New Roman" w:hAnsi="Times New Roman" w:cs="Times New Roman"/>
                <w:color w:val="2D2D2D"/>
                <w:sz w:val="21"/>
                <w:szCs w:val="21"/>
                <w:lang w:eastAsia="ru-RU"/>
              </w:rPr>
              <w:br/>
              <w:t>этап</w:t>
            </w:r>
          </w:p>
        </w:tc>
        <w:tc>
          <w:tcPr>
            <w:tcW w:w="184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2009-2030 годы - всего</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Отрасли топливно-энергетического</w:t>
            </w:r>
            <w:r w:rsidRPr="005E4CD6">
              <w:rPr>
                <w:rFonts w:ascii="Times New Roman" w:eastAsia="Times New Roman" w:hAnsi="Times New Roman" w:cs="Times New Roman"/>
                <w:color w:val="2D2D2D"/>
                <w:sz w:val="21"/>
                <w:szCs w:val="21"/>
                <w:lang w:eastAsia="ru-RU"/>
              </w:rPr>
              <w:br/>
              <w:t>комплекса - всего</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449-456</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391-523</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979-1196</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1819-2177</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нефтяная промышленность</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162-165</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134-139</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313-321</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609-625</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газовая промышленность</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150-155</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131-136</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284-299</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565-590</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угольная промышленность</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12-13</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14-16</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42-47</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68-76</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электроэнергетика</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122-126</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110-233</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340-529</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572-888</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Сферы энергоснабжения - всего</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85-98</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125-142</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329-356</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547-588</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возобновляемые источники энергии*</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7-9</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24-28</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82-97</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113-134</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централизованное теплоснабжение</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41-43</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38-39</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68-72</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149-152</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автономная энергетика</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8-9</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24-27</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41-43</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энергосбережение в экономике</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29-37</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55-67</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155-160</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244-259</w:t>
            </w:r>
          </w:p>
        </w:tc>
      </w:tr>
      <w:tr w:rsidR="005E4CD6" w:rsidRPr="005E4CD6" w:rsidTr="005E4CD6">
        <w:tc>
          <w:tcPr>
            <w:tcW w:w="425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Итого на реализацию Стратегии</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534-554</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516-665</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1308-1552</w:t>
            </w:r>
          </w:p>
        </w:tc>
        <w:tc>
          <w:tcPr>
            <w:tcW w:w="184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2366-2765</w:t>
            </w:r>
          </w:p>
        </w:tc>
      </w:tr>
    </w:tbl>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_______________________</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 За исключением гидроэлектростанций мощностью более 25 МВт.</w:t>
      </w:r>
      <w:r w:rsidRPr="005E4CD6">
        <w:rPr>
          <w:rFonts w:ascii="Arial" w:eastAsia="Times New Roman" w:hAnsi="Arial" w:cs="Arial"/>
          <w:color w:val="2D2D2D"/>
          <w:spacing w:val="2"/>
          <w:sz w:val="21"/>
          <w:szCs w:val="21"/>
          <w:lang w:eastAsia="ru-RU"/>
        </w:rPr>
        <w:br/>
      </w:r>
      <w:r w:rsidRPr="005E4CD6">
        <w:rPr>
          <w:rFonts w:ascii="Arial" w:eastAsia="Times New Roman" w:hAnsi="Arial" w:cs="Arial"/>
          <w:color w:val="2D2D2D"/>
          <w:spacing w:val="2"/>
          <w:sz w:val="21"/>
          <w:szCs w:val="21"/>
          <w:lang w:eastAsia="ru-RU"/>
        </w:rPr>
        <w:br/>
      </w:r>
    </w:p>
    <w:p w:rsidR="005E4CD6" w:rsidRPr="005E4CD6" w:rsidRDefault="005E4CD6" w:rsidP="005E4CD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4CD6">
        <w:rPr>
          <w:rFonts w:ascii="Arial" w:eastAsia="Times New Roman" w:hAnsi="Arial" w:cs="Arial"/>
          <w:color w:val="4C4C4C"/>
          <w:spacing w:val="2"/>
          <w:sz w:val="38"/>
          <w:szCs w:val="38"/>
          <w:lang w:eastAsia="ru-RU"/>
        </w:rPr>
        <w:t>Сопоставление базовых диапазонов прогнозных оценок</w:t>
      </w:r>
    </w:p>
    <w:tbl>
      <w:tblPr>
        <w:tblW w:w="0" w:type="auto"/>
        <w:tblCellMar>
          <w:left w:w="0" w:type="dxa"/>
          <w:right w:w="0" w:type="dxa"/>
        </w:tblCellMar>
        <w:tblLook w:val="04A0" w:firstRow="1" w:lastRow="0" w:firstColumn="1" w:lastColumn="0" w:noHBand="0" w:noVBand="1"/>
      </w:tblPr>
      <w:tblGrid>
        <w:gridCol w:w="3085"/>
        <w:gridCol w:w="1824"/>
        <w:gridCol w:w="2223"/>
        <w:gridCol w:w="2223"/>
      </w:tblGrid>
      <w:tr w:rsidR="005E4CD6" w:rsidRPr="005E4CD6" w:rsidTr="005E4CD6">
        <w:trPr>
          <w:trHeight w:val="12"/>
        </w:trPr>
        <w:tc>
          <w:tcPr>
            <w:tcW w:w="4066" w:type="dxa"/>
            <w:hideMark/>
          </w:tcPr>
          <w:p w:rsidR="005E4CD6" w:rsidRPr="005E4CD6" w:rsidRDefault="005E4CD6" w:rsidP="005E4CD6">
            <w:pPr>
              <w:spacing w:after="0" w:line="240" w:lineRule="auto"/>
              <w:rPr>
                <w:rFonts w:ascii="Arial" w:eastAsia="Times New Roman" w:hAnsi="Arial" w:cs="Arial"/>
                <w:b/>
                <w:bCs/>
                <w:color w:val="4C4C4C"/>
                <w:spacing w:val="2"/>
                <w:sz w:val="38"/>
                <w:szCs w:val="38"/>
                <w:lang w:eastAsia="ru-RU"/>
              </w:rPr>
            </w:pPr>
          </w:p>
        </w:tc>
        <w:tc>
          <w:tcPr>
            <w:tcW w:w="2218"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2587"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2587"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4066" w:type="dxa"/>
            <w:tcBorders>
              <w:top w:val="single" w:sz="6" w:space="0" w:color="000000"/>
              <w:left w:val="nil"/>
              <w:bottom w:val="nil"/>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Показатели</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2030 год</w:t>
            </w:r>
          </w:p>
        </w:tc>
        <w:tc>
          <w:tcPr>
            <w:tcW w:w="2587" w:type="dxa"/>
            <w:tcBorders>
              <w:top w:val="single" w:sz="6" w:space="0" w:color="000000"/>
              <w:left w:val="single" w:sz="6" w:space="0" w:color="000000"/>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Отношение</w:t>
            </w:r>
          </w:p>
        </w:tc>
      </w:tr>
      <w:tr w:rsidR="005E4CD6" w:rsidRPr="005E4CD6" w:rsidTr="005E4CD6">
        <w:tc>
          <w:tcPr>
            <w:tcW w:w="4066" w:type="dxa"/>
            <w:tcBorders>
              <w:top w:val="nil"/>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базовые диапазоны прогнозных оценок настоящей Стратегии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прогнозные оценки альтернативного инновационного сценария</w:t>
            </w:r>
          </w:p>
        </w:tc>
        <w:tc>
          <w:tcPr>
            <w:tcW w:w="2587" w:type="dxa"/>
            <w:tcBorders>
              <w:top w:val="nil"/>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прогнозных оценок</w:t>
            </w:r>
            <w:r w:rsidRPr="005E4CD6">
              <w:rPr>
                <w:rFonts w:ascii="Times New Roman" w:eastAsia="Times New Roman" w:hAnsi="Times New Roman" w:cs="Times New Roman"/>
                <w:color w:val="2D2D2D"/>
                <w:sz w:val="21"/>
                <w:szCs w:val="21"/>
                <w:lang w:eastAsia="ru-RU"/>
              </w:rPr>
              <w:br/>
              <w:t>альтернативного сценария</w:t>
            </w:r>
            <w:r w:rsidRPr="005E4CD6">
              <w:rPr>
                <w:rFonts w:ascii="Times New Roman" w:eastAsia="Times New Roman" w:hAnsi="Times New Roman" w:cs="Times New Roman"/>
                <w:color w:val="2D2D2D"/>
                <w:sz w:val="21"/>
                <w:szCs w:val="21"/>
                <w:lang w:eastAsia="ru-RU"/>
              </w:rPr>
              <w:br/>
              <w:t>к прогнозным оценкам Стратегии</w:t>
            </w:r>
            <w:r w:rsidRPr="005E4CD6">
              <w:rPr>
                <w:rFonts w:ascii="Times New Roman" w:eastAsia="Times New Roman" w:hAnsi="Times New Roman" w:cs="Times New Roman"/>
                <w:color w:val="2D2D2D"/>
                <w:sz w:val="21"/>
                <w:szCs w:val="21"/>
                <w:lang w:eastAsia="ru-RU"/>
              </w:rPr>
              <w:br/>
              <w:t>(процентов)</w:t>
            </w:r>
          </w:p>
        </w:tc>
      </w:tr>
      <w:tr w:rsidR="005E4CD6" w:rsidRPr="005E4CD6" w:rsidTr="005E4CD6">
        <w:tc>
          <w:tcPr>
            <w:tcW w:w="4066" w:type="dxa"/>
            <w:tcBorders>
              <w:top w:val="single" w:sz="6" w:space="0" w:color="000000"/>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Доля в валовом внутреннем продукте (процентов):</w:t>
            </w:r>
            <w:r w:rsidRPr="005E4CD6">
              <w:rPr>
                <w:rFonts w:ascii="Times New Roman" w:eastAsia="Times New Roman" w:hAnsi="Times New Roman" w:cs="Times New Roman"/>
                <w:color w:val="2D2D2D"/>
                <w:sz w:val="21"/>
                <w:szCs w:val="21"/>
                <w:lang w:eastAsia="ru-RU"/>
              </w:rPr>
              <w:br/>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энергоемкие производства</w:t>
            </w:r>
            <w:r w:rsidRPr="005E4CD6">
              <w:rPr>
                <w:rFonts w:ascii="Times New Roman" w:eastAsia="Times New Roman" w:hAnsi="Times New Roman" w:cs="Times New Roman"/>
                <w:color w:val="2D2D2D"/>
                <w:sz w:val="21"/>
                <w:szCs w:val="21"/>
                <w:lang w:eastAsia="ru-RU"/>
              </w:rPr>
              <w:br/>
              <w:t>(металлургия, химия и др.)</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10,4-10,6</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66-67</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добыча топлива</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3,5-3,6</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2,8</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78-80</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Энергоемкость валового внутреннего продукта (в процентах к 2005 году)</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44-46</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39</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85-89</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Электроемкость валового внутреннего продукта (в процентах к 2005 году)</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59-60</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52</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87-88</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Выбросы парниковых газов</w:t>
            </w:r>
            <w:r w:rsidRPr="005E4CD6">
              <w:rPr>
                <w:rFonts w:ascii="Times New Roman" w:eastAsia="Times New Roman" w:hAnsi="Times New Roman" w:cs="Times New Roman"/>
                <w:color w:val="2D2D2D"/>
                <w:sz w:val="21"/>
                <w:szCs w:val="21"/>
                <w:lang w:eastAsia="ru-RU"/>
              </w:rPr>
              <w:br/>
              <w:t>(в процентах к 1990 году)</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94-105</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80</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76-85</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Внутреннее потребление энергоресурсов - всего (млн.тонн условного топлива)</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1375-1565</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1195</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76-87</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 газ</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656-696</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590</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85-90</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Потребление электроэнергии внутренний спрос (млрд.</w:t>
            </w:r>
            <w:r w:rsidRPr="005E4CD6">
              <w:rPr>
                <w:rFonts w:ascii="Times New Roman" w:eastAsia="Times New Roman" w:hAnsi="Times New Roman" w:cs="Times New Roman"/>
                <w:noProof/>
                <w:color w:val="2D2D2D"/>
                <w:sz w:val="21"/>
                <w:szCs w:val="21"/>
                <w:lang w:eastAsia="ru-RU"/>
              </w:rPr>
              <w:drawing>
                <wp:inline distT="0" distB="0" distL="0" distR="0" wp14:anchorId="17B4FAC4" wp14:editId="380ADC18">
                  <wp:extent cx="457200" cy="158750"/>
                  <wp:effectExtent l="0" t="0" r="0" b="0"/>
                  <wp:docPr id="17" name="Рисунок 17" descr="Об утверждении Энергетической стратегии России на период до 203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б утверждении Энергетической стратегии России на период до 2030 год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58750"/>
                          </a:xfrm>
                          <a:prstGeom prst="rect">
                            <a:avLst/>
                          </a:prstGeom>
                          <a:noFill/>
                          <a:ln>
                            <a:noFill/>
                          </a:ln>
                        </pic:spPr>
                      </pic:pic>
                    </a:graphicData>
                  </a:graphic>
                </wp:inline>
              </w:drawing>
            </w:r>
            <w:r w:rsidRPr="005E4CD6">
              <w:rPr>
                <w:rFonts w:ascii="Times New Roman" w:eastAsia="Times New Roman" w:hAnsi="Times New Roman" w:cs="Times New Roman"/>
                <w:color w:val="2D2D2D"/>
                <w:sz w:val="21"/>
                <w:szCs w:val="21"/>
                <w:lang w:eastAsia="ru-RU"/>
              </w:rPr>
              <w:t>)</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1740-2164</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1580</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73-91</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Производство энергоресурсов - всего (млн.тонн условного топлива)</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2276-2456</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2130</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87-94</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 газ</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1015-1078</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960</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89-95</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Производство электроэнергии (млрд.</w:t>
            </w:r>
            <w:r w:rsidRPr="005E4CD6">
              <w:rPr>
                <w:rFonts w:ascii="Times New Roman" w:eastAsia="Times New Roman" w:hAnsi="Times New Roman" w:cs="Times New Roman"/>
                <w:noProof/>
                <w:color w:val="2D2D2D"/>
                <w:sz w:val="21"/>
                <w:szCs w:val="21"/>
                <w:lang w:eastAsia="ru-RU"/>
              </w:rPr>
              <w:drawing>
                <wp:inline distT="0" distB="0" distL="0" distR="0" wp14:anchorId="1504DCAA" wp14:editId="0E5B3131">
                  <wp:extent cx="457200" cy="158750"/>
                  <wp:effectExtent l="0" t="0" r="0" b="0"/>
                  <wp:docPr id="18" name="Рисунок 18" descr="Об утверждении Энергетической стратегии России на период до 2030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б утверждении Энергетической стратегии России на период до 2030 год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58750"/>
                          </a:xfrm>
                          <a:prstGeom prst="rect">
                            <a:avLst/>
                          </a:prstGeom>
                          <a:noFill/>
                          <a:ln>
                            <a:noFill/>
                          </a:ln>
                        </pic:spPr>
                      </pic:pic>
                    </a:graphicData>
                  </a:graphic>
                </wp:inline>
              </w:drawing>
            </w:r>
            <w:r w:rsidRPr="005E4CD6">
              <w:rPr>
                <w:rFonts w:ascii="Times New Roman" w:eastAsia="Times New Roman" w:hAnsi="Times New Roman" w:cs="Times New Roman"/>
                <w:color w:val="2D2D2D"/>
                <w:sz w:val="21"/>
                <w:szCs w:val="21"/>
                <w:lang w:eastAsia="ru-RU"/>
              </w:rPr>
              <w:t>)</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1800-2210</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1620</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73-90</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 тепловые электростанции</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1098-1382</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995</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72-91</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Расход топлива электростанциями - всего (млн.тонн условного топлива)</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414-460</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357</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78-86</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 газ</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265-266</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240</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90-91</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Экспорт энергоресурсов - всего (млн.тонн условного топлива)</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974-985</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1010</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103-104</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 том числе газ (млрд.куб.м)</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349-368</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346</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94-99</w:t>
            </w:r>
          </w:p>
        </w:tc>
      </w:tr>
      <w:tr w:rsidR="005E4CD6" w:rsidRPr="005E4CD6" w:rsidTr="005E4CD6">
        <w:tc>
          <w:tcPr>
            <w:tcW w:w="4066"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Инвестиции в развитие топливно-энергетического комплекса (млрд. долларов США,</w:t>
            </w:r>
            <w:r w:rsidRPr="005E4CD6">
              <w:rPr>
                <w:rFonts w:ascii="Times New Roman" w:eastAsia="Times New Roman" w:hAnsi="Times New Roman" w:cs="Times New Roman"/>
                <w:color w:val="2D2D2D"/>
                <w:sz w:val="21"/>
                <w:szCs w:val="21"/>
                <w:lang w:eastAsia="ru-RU"/>
              </w:rPr>
              <w:br/>
              <w:t>в ценах 2007 года)</w:t>
            </w:r>
          </w:p>
        </w:tc>
        <w:tc>
          <w:tcPr>
            <w:tcW w:w="2218"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1819-2177</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1610</w:t>
            </w:r>
          </w:p>
        </w:tc>
        <w:tc>
          <w:tcPr>
            <w:tcW w:w="2587"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74-89</w:t>
            </w:r>
          </w:p>
        </w:tc>
      </w:tr>
    </w:tbl>
    <w:p w:rsidR="005E4CD6" w:rsidRPr="005E4CD6" w:rsidRDefault="005E4CD6" w:rsidP="005E4CD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5E4CD6">
        <w:rPr>
          <w:rFonts w:ascii="Arial" w:eastAsia="Times New Roman" w:hAnsi="Arial" w:cs="Arial"/>
          <w:color w:val="4C4C4C"/>
          <w:spacing w:val="2"/>
          <w:sz w:val="38"/>
          <w:szCs w:val="38"/>
          <w:lang w:eastAsia="ru-RU"/>
        </w:rPr>
        <w:t xml:space="preserve">Приложение N 5. Сводный план ("дорожная карта") мероприятий государственной энергетической </w:t>
      </w:r>
      <w:r w:rsidRPr="005E4CD6">
        <w:rPr>
          <w:rFonts w:ascii="Arial" w:eastAsia="Times New Roman" w:hAnsi="Arial" w:cs="Arial"/>
          <w:color w:val="4C4C4C"/>
          <w:spacing w:val="2"/>
          <w:sz w:val="38"/>
          <w:szCs w:val="38"/>
          <w:lang w:eastAsia="ru-RU"/>
        </w:rPr>
        <w:lastRenderedPageBreak/>
        <w:t>политики на период до 2030 года, обеспечивающих реализацию настоящей Стратегии</w:t>
      </w:r>
    </w:p>
    <w:p w:rsidR="005E4CD6" w:rsidRPr="005E4CD6" w:rsidRDefault="005E4CD6" w:rsidP="005E4C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t>Приложение N 5</w:t>
      </w:r>
      <w:r w:rsidRPr="005E4CD6">
        <w:rPr>
          <w:rFonts w:ascii="Arial" w:eastAsia="Times New Roman" w:hAnsi="Arial" w:cs="Arial"/>
          <w:color w:val="2D2D2D"/>
          <w:spacing w:val="2"/>
          <w:sz w:val="21"/>
          <w:szCs w:val="21"/>
          <w:lang w:eastAsia="ru-RU"/>
        </w:rPr>
        <w:br/>
        <w:t>к Энергетической стратегии</w:t>
      </w:r>
      <w:r w:rsidRPr="005E4CD6">
        <w:rPr>
          <w:rFonts w:ascii="Arial" w:eastAsia="Times New Roman" w:hAnsi="Arial" w:cs="Arial"/>
          <w:color w:val="2D2D2D"/>
          <w:spacing w:val="2"/>
          <w:sz w:val="21"/>
          <w:szCs w:val="21"/>
          <w:lang w:eastAsia="ru-RU"/>
        </w:rPr>
        <w:br/>
        <w:t>России на период до 2030 года</w:t>
      </w:r>
    </w:p>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325"/>
        <w:gridCol w:w="3123"/>
        <w:gridCol w:w="2907"/>
      </w:tblGrid>
      <w:tr w:rsidR="005E4CD6" w:rsidRPr="005E4CD6" w:rsidTr="005E4CD6">
        <w:trPr>
          <w:trHeight w:val="12"/>
        </w:trPr>
        <w:tc>
          <w:tcPr>
            <w:tcW w:w="5914" w:type="dxa"/>
            <w:hideMark/>
          </w:tcPr>
          <w:p w:rsidR="005E4CD6" w:rsidRPr="005E4CD6" w:rsidRDefault="005E4CD6" w:rsidP="005E4CD6">
            <w:pPr>
              <w:spacing w:after="0" w:line="240" w:lineRule="auto"/>
              <w:rPr>
                <w:rFonts w:ascii="Arial" w:eastAsia="Times New Roman" w:hAnsi="Arial" w:cs="Arial"/>
                <w:color w:val="2D2D2D"/>
                <w:spacing w:val="2"/>
                <w:sz w:val="21"/>
                <w:szCs w:val="21"/>
                <w:lang w:eastAsia="ru-RU"/>
              </w:rPr>
            </w:pPr>
          </w:p>
        </w:tc>
        <w:tc>
          <w:tcPr>
            <w:tcW w:w="4990"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c>
          <w:tcPr>
            <w:tcW w:w="4620" w:type="dxa"/>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591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1-й этап</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2-й этап</w:t>
            </w:r>
          </w:p>
        </w:tc>
        <w:tc>
          <w:tcPr>
            <w:tcW w:w="4620"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3-й этап</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r>
            <w:r w:rsidRPr="005E4CD6">
              <w:rPr>
                <w:rFonts w:ascii="Times New Roman" w:eastAsia="Times New Roman" w:hAnsi="Times New Roman" w:cs="Times New Roman"/>
                <w:b/>
                <w:bCs/>
                <w:color w:val="2D2D2D"/>
                <w:sz w:val="21"/>
                <w:szCs w:val="21"/>
                <w:lang w:eastAsia="ru-RU"/>
              </w:rPr>
              <w:t>Недропользование и управление государственным фондом недр</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 Повышение активности геологического освоения новых территорий и акваторий</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Повышение степени влияния государственных институтов на формирование и реализацию программ геологоразведки перспективных территорий и акваторий (континентального шельфа).</w:t>
            </w:r>
            <w:r w:rsidRPr="005E4CD6">
              <w:rPr>
                <w:rFonts w:ascii="Times New Roman" w:eastAsia="Times New Roman" w:hAnsi="Times New Roman" w:cs="Times New Roman"/>
                <w:color w:val="2D2D2D"/>
                <w:sz w:val="21"/>
                <w:szCs w:val="21"/>
                <w:lang w:eastAsia="ru-RU"/>
              </w:rPr>
              <w:br/>
              <w:t>Разработка и введение специального налогового режима при освоении запасов континентального шельфа России</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Государственная поддержка геолого-разведочных работ перспективных территорий на основе прямого государственного участия; предоставление государственных гарантий недропользователям; предоставление налоговых каникул на срок проектной окупаемости вложенных инвестиций, а также инвестиционного налогового кредита</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Увеличение прироста запасов на новых территориях и акваториях в структуре воспроизводства минерально-сырьевой базы.</w:t>
            </w:r>
            <w:r w:rsidRPr="005E4CD6">
              <w:rPr>
                <w:rFonts w:ascii="Times New Roman" w:eastAsia="Times New Roman" w:hAnsi="Times New Roman" w:cs="Times New Roman"/>
                <w:color w:val="2D2D2D"/>
                <w:sz w:val="21"/>
                <w:szCs w:val="21"/>
                <w:lang w:eastAsia="ru-RU"/>
              </w:rPr>
              <w:br/>
              <w:t>Доведение доли континентального шельфа в воспроизводстве запасов:</w:t>
            </w:r>
            <w:r w:rsidRPr="005E4CD6">
              <w:rPr>
                <w:rFonts w:ascii="Times New Roman" w:eastAsia="Times New Roman" w:hAnsi="Times New Roman" w:cs="Times New Roman"/>
                <w:color w:val="2D2D2D"/>
                <w:sz w:val="21"/>
                <w:szCs w:val="21"/>
                <w:lang w:eastAsia="ru-RU"/>
              </w:rPr>
              <w:br/>
              <w:t>по нефти до уровня не менее</w:t>
            </w:r>
            <w:r w:rsidRPr="005E4CD6">
              <w:rPr>
                <w:rFonts w:ascii="Times New Roman" w:eastAsia="Times New Roman" w:hAnsi="Times New Roman" w:cs="Times New Roman"/>
                <w:color w:val="2D2D2D"/>
                <w:sz w:val="21"/>
                <w:szCs w:val="21"/>
                <w:lang w:eastAsia="ru-RU"/>
              </w:rPr>
              <w:br/>
              <w:t>10-15 процентов;</w:t>
            </w:r>
            <w:r w:rsidRPr="005E4CD6">
              <w:rPr>
                <w:rFonts w:ascii="Times New Roman" w:eastAsia="Times New Roman" w:hAnsi="Times New Roman" w:cs="Times New Roman"/>
                <w:color w:val="2D2D2D"/>
                <w:sz w:val="21"/>
                <w:szCs w:val="21"/>
                <w:lang w:eastAsia="ru-RU"/>
              </w:rPr>
              <w:br/>
              <w:t>по газу до уровня не менее</w:t>
            </w:r>
            <w:r w:rsidRPr="005E4CD6">
              <w:rPr>
                <w:rFonts w:ascii="Times New Roman" w:eastAsia="Times New Roman" w:hAnsi="Times New Roman" w:cs="Times New Roman"/>
                <w:color w:val="2D2D2D"/>
                <w:sz w:val="21"/>
                <w:szCs w:val="21"/>
                <w:lang w:eastAsia="ru-RU"/>
              </w:rPr>
              <w:br/>
              <w:t>20-25 процентов</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2. Стимулирование привлечения частных инвестиций в геолого-разведочные работы и недропользование</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Устранение избыточных административных барьеров при проведении геолого-разведочных работ на основе введения типовых проектов недропользования и уменьшения количества государственных экспертиз.</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Внедрение рентной системы налогообложения недропользователей, осуществляющих геолого-разведочные работы.</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Развитие частно-государственного партнерства в недропользовании.</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Стабилизация налоговой политики в сфере недропользования и формирование условий для перехода к рентной системе налогообложения недропользователей.</w:t>
            </w:r>
            <w:r w:rsidRPr="005E4CD6">
              <w:rPr>
                <w:rFonts w:ascii="Times New Roman" w:eastAsia="Times New Roman" w:hAnsi="Times New Roman" w:cs="Times New Roman"/>
                <w:color w:val="2D2D2D"/>
                <w:sz w:val="21"/>
                <w:szCs w:val="21"/>
                <w:lang w:eastAsia="ru-RU"/>
              </w:rPr>
              <w:br/>
              <w:t xml:space="preserve">Обеспечение прав как владельца </w:t>
            </w:r>
            <w:r w:rsidRPr="005E4CD6">
              <w:rPr>
                <w:rFonts w:ascii="Times New Roman" w:eastAsia="Times New Roman" w:hAnsi="Times New Roman" w:cs="Times New Roman"/>
                <w:color w:val="2D2D2D"/>
                <w:sz w:val="21"/>
                <w:szCs w:val="21"/>
                <w:lang w:eastAsia="ru-RU"/>
              </w:rPr>
              <w:lastRenderedPageBreak/>
              <w:t>недр, так и недропользователя, включая введение прозрачной системы санкций за нарушение лицензионных соглашений</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 xml:space="preserve">Обеспечение соотношения ежегодного прироста разведанных запасов топливно-энергетических ресурсов в результате проведения геолого-разведочных работ и ежегодного объема добычи по </w:t>
            </w:r>
            <w:r w:rsidRPr="005E4CD6">
              <w:rPr>
                <w:rFonts w:ascii="Times New Roman" w:eastAsia="Times New Roman" w:hAnsi="Times New Roman" w:cs="Times New Roman"/>
                <w:color w:val="2D2D2D"/>
                <w:sz w:val="21"/>
                <w:szCs w:val="21"/>
                <w:lang w:eastAsia="ru-RU"/>
              </w:rPr>
              <w:lastRenderedPageBreak/>
              <w:t>основным видам топливно-энергетических ресурсов (нефть, газ, уголь, уран) &gt;1</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 xml:space="preserve">Устойчивый (не менее чем двукратный за период) рост объемов частных инвестиций в недропользование и проведение геолого-разведочных работ (доля частных инвестиций в </w:t>
            </w:r>
            <w:r w:rsidRPr="005E4CD6">
              <w:rPr>
                <w:rFonts w:ascii="Times New Roman" w:eastAsia="Times New Roman" w:hAnsi="Times New Roman" w:cs="Times New Roman"/>
                <w:color w:val="2D2D2D"/>
                <w:sz w:val="21"/>
                <w:szCs w:val="21"/>
                <w:lang w:eastAsia="ru-RU"/>
              </w:rPr>
              <w:lastRenderedPageBreak/>
              <w:t>проведение геолого-разведочных работ - не менее 80 процентов)</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br/>
              <w:t>3. Стимулирование эффективного недропользования на основе полного и комплексного извлечения углеводородного сырья из недр</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Создание национального реестра топливно-энергетических ресурсов на основе гармонизации российской и международной классификации запасов топливно-энергетических ресурсов.</w:t>
            </w:r>
            <w:r w:rsidRPr="005E4CD6">
              <w:rPr>
                <w:rFonts w:ascii="Times New Roman" w:eastAsia="Times New Roman" w:hAnsi="Times New Roman" w:cs="Times New Roman"/>
                <w:color w:val="2D2D2D"/>
                <w:sz w:val="21"/>
                <w:szCs w:val="21"/>
                <w:lang w:eastAsia="ru-RU"/>
              </w:rPr>
              <w:br/>
              <w:t>Совершенствование механизмов государственного контроля за выполнением условий лицензионных соглашений, обеспечение учета вероятностного характера оценки запасов и возможности ее корректировки с целью максимально рациональной эксплуатации месторождений.</w:t>
            </w:r>
            <w:r w:rsidRPr="005E4CD6">
              <w:rPr>
                <w:rFonts w:ascii="Times New Roman" w:eastAsia="Times New Roman" w:hAnsi="Times New Roman" w:cs="Times New Roman"/>
                <w:color w:val="2D2D2D"/>
                <w:sz w:val="21"/>
                <w:szCs w:val="21"/>
                <w:lang w:eastAsia="ru-RU"/>
              </w:rPr>
              <w:br/>
              <w:t>Совершенствование налогового законодательства, стимулирующего полное и комплексное извлечение углеводородного сырья.</w:t>
            </w:r>
            <w:r w:rsidRPr="005E4CD6">
              <w:rPr>
                <w:rFonts w:ascii="Times New Roman" w:eastAsia="Times New Roman" w:hAnsi="Times New Roman" w:cs="Times New Roman"/>
                <w:color w:val="2D2D2D"/>
                <w:sz w:val="21"/>
                <w:szCs w:val="21"/>
                <w:lang w:eastAsia="ru-RU"/>
              </w:rPr>
              <w:br/>
              <w:t>Разработка и внедрение единых принципов управления месторождениями топливно-энергетических ресурсов на всех стадиях: от поиска топливно-энергетических ресурсов до начала выполнения работ по консервации или ликвидации месторождения в связи с достижением максимально возможного коэффициента извлечения углеводородов при существующем технико-технологическом уровне методов разработки.</w:t>
            </w:r>
            <w:r w:rsidRPr="005E4CD6">
              <w:rPr>
                <w:rFonts w:ascii="Times New Roman" w:eastAsia="Times New Roman" w:hAnsi="Times New Roman" w:cs="Times New Roman"/>
                <w:color w:val="2D2D2D"/>
                <w:sz w:val="21"/>
                <w:szCs w:val="21"/>
                <w:lang w:eastAsia="ru-RU"/>
              </w:rPr>
              <w:br/>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Государственная поддержка внедрения новых инновационных технологий добычи углеводородов, повышающих коэффициент извлечения нефти</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Налоговое стимулирование расширенной добычи сверхвязкой нефти, природных битумов, низконапорного газа старых месторождений и комплексного использования ресурсов угольных месторождений, включая проекты по утилизации дегазационного метана.</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Государственная поддержка внедрения новых инновационных технологий добычи углеводородов, повышающих коэффициент извлечения нефти.</w:t>
            </w:r>
            <w:r w:rsidRPr="005E4CD6">
              <w:rPr>
                <w:rFonts w:ascii="Times New Roman" w:eastAsia="Times New Roman" w:hAnsi="Times New Roman" w:cs="Times New Roman"/>
                <w:color w:val="2D2D2D"/>
                <w:sz w:val="21"/>
                <w:szCs w:val="21"/>
                <w:lang w:eastAsia="ru-RU"/>
              </w:rPr>
              <w:br/>
              <w:t>Налоговое стимулирование добычи сверхвязкой нефти, природных битумов, низконапорного газа старых месторождений.</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Поддержание коэффициента извлечения нефти на уровне 30-32 процентов.</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Увеличение коэффициента извлечения нефти до 35 - 37 процентов</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Увеличение доли нетрадиционного газа в общем объеме добычи газа до 10 процентов</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Увеличение доли нетрадиционного газа в общем объеме добычи газа до 15 процентов</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Обеспечение коэффициента утилизации попутного нефтяного газа на уровне не ниже</w:t>
            </w:r>
            <w:r w:rsidRPr="005E4CD6">
              <w:rPr>
                <w:rFonts w:ascii="Times New Roman" w:eastAsia="Times New Roman" w:hAnsi="Times New Roman" w:cs="Times New Roman"/>
                <w:color w:val="2D2D2D"/>
                <w:sz w:val="21"/>
                <w:szCs w:val="21"/>
                <w:lang w:eastAsia="ru-RU"/>
              </w:rPr>
              <w:br/>
              <w:t>95 процентов</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Обеспечение коэффициента утилизации попутного нефтяного газа на уровне не ниже 95 процентов</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Обеспечение коэффициента утилизации попутного нефтяного газа на уровне не ниже 95 процентов</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4. Развитие рынка независимых сервисных и инжиниринговых услуг в сфере недропользования</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Стимулирование формирования российских независимых инжиниринговых компаний.</w:t>
            </w:r>
            <w:r w:rsidRPr="005E4CD6">
              <w:rPr>
                <w:rFonts w:ascii="Times New Roman" w:eastAsia="Times New Roman" w:hAnsi="Times New Roman" w:cs="Times New Roman"/>
                <w:color w:val="2D2D2D"/>
                <w:sz w:val="21"/>
                <w:szCs w:val="21"/>
                <w:lang w:eastAsia="ru-RU"/>
              </w:rPr>
              <w:br/>
              <w:t>Государственная поддержка импорта ключевых комплексных технологий с обязательствами</w:t>
            </w:r>
            <w:r w:rsidRPr="005E4CD6">
              <w:rPr>
                <w:rFonts w:ascii="Times New Roman" w:eastAsia="Times New Roman" w:hAnsi="Times New Roman" w:cs="Times New Roman"/>
                <w:color w:val="2D2D2D"/>
                <w:sz w:val="21"/>
                <w:szCs w:val="21"/>
                <w:lang w:eastAsia="ru-RU"/>
              </w:rPr>
              <w:br/>
              <w:t>по их локализации</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Развитие рынка сервисных и инжиниринговых услуг в сфере недропользования.</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Доведение доли независимого сегмента в сфере сервиса и инжиниринга до 20 процентов</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Доведение доли независимого сегмента в сфере сервиса и инжиниринга до 50 процентов</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r>
            <w:r w:rsidRPr="005E4CD6">
              <w:rPr>
                <w:rFonts w:ascii="Times New Roman" w:eastAsia="Times New Roman" w:hAnsi="Times New Roman" w:cs="Times New Roman"/>
                <w:b/>
                <w:bCs/>
                <w:color w:val="2D2D2D"/>
                <w:sz w:val="21"/>
                <w:szCs w:val="21"/>
                <w:lang w:eastAsia="ru-RU"/>
              </w:rPr>
              <w:t>Развитие внутренних энергетических рынков</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5. Совершенствование государственного контроля за уровнем экономической концентрации на энергетических рынках</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 xml:space="preserve">Ужесточение антимонопольного законодательства в целях пресечения картельных сговоров на рынке топливно-энергетических ресурсов и технологического монополизма </w:t>
            </w:r>
            <w:r w:rsidRPr="005E4CD6">
              <w:rPr>
                <w:rFonts w:ascii="Times New Roman" w:eastAsia="Times New Roman" w:hAnsi="Times New Roman" w:cs="Times New Roman"/>
                <w:color w:val="2D2D2D"/>
                <w:sz w:val="21"/>
                <w:szCs w:val="21"/>
                <w:lang w:eastAsia="ru-RU"/>
              </w:rPr>
              <w:lastRenderedPageBreak/>
              <w:t>(в том числе в вопросах подключения к сетям)</w:t>
            </w:r>
            <w:r w:rsidRPr="005E4CD6">
              <w:rPr>
                <w:rFonts w:ascii="Times New Roman" w:eastAsia="Times New Roman" w:hAnsi="Times New Roman" w:cs="Times New Roman"/>
                <w:color w:val="2D2D2D"/>
                <w:sz w:val="21"/>
                <w:szCs w:val="21"/>
                <w:lang w:eastAsia="ru-RU"/>
              </w:rPr>
              <w:br/>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 xml:space="preserve">Создание интегрированной системы мониторинга энергетических рынков на базе государственных информационных ресурсов </w:t>
            </w:r>
            <w:r w:rsidRPr="005E4CD6">
              <w:rPr>
                <w:rFonts w:ascii="Times New Roman" w:eastAsia="Times New Roman" w:hAnsi="Times New Roman" w:cs="Times New Roman"/>
                <w:color w:val="2D2D2D"/>
                <w:sz w:val="21"/>
                <w:szCs w:val="21"/>
                <w:lang w:eastAsia="ru-RU"/>
              </w:rPr>
              <w:lastRenderedPageBreak/>
              <w:t>топливно-энергетического комплекса</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Повышение эффективности государственного контроля за уровнем экономической концентрации</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Обеспечение прозрачного и недискриминационного доступа к энергетической инфраструктуре (в том числе обязывающее предприятия, управляющие инфраструктурой, раскрывать информацию о наличии или отсутствии свободных мощностей).</w:t>
            </w:r>
            <w:r w:rsidRPr="005E4CD6">
              <w:rPr>
                <w:rFonts w:ascii="Times New Roman" w:eastAsia="Times New Roman" w:hAnsi="Times New Roman" w:cs="Times New Roman"/>
                <w:color w:val="2D2D2D"/>
                <w:sz w:val="21"/>
                <w:szCs w:val="21"/>
                <w:lang w:eastAsia="ru-RU"/>
              </w:rPr>
              <w:br/>
              <w:t>Создание государственной информационной системы топливно-энергетического комплекса</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Прозрачный и недискриминационный доступ для всех участников рынка к энергетической инфраструктуре</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Ликвидация регионального и технологического монополизма</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6. Создание и развитие отечественных систем биржевой торговли всеми видами топливно-энергетических ресурсов</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Стимулирование участия частных компаний в биржевой торговле энергоносителями за счет обязательного резервирования мощности транспортных систем для обеспечения биржевой торговли, обязательного проведения части госзакупок энергоносителей через биржевые механизмы.</w:t>
            </w:r>
            <w:r w:rsidRPr="005E4CD6">
              <w:rPr>
                <w:rFonts w:ascii="Times New Roman" w:eastAsia="Times New Roman" w:hAnsi="Times New Roman" w:cs="Times New Roman"/>
                <w:color w:val="2D2D2D"/>
                <w:sz w:val="21"/>
                <w:szCs w:val="21"/>
                <w:lang w:eastAsia="ru-RU"/>
              </w:rPr>
              <w:br/>
              <w:t>Разработка нормативной правовой базы, позволяющей интегрировать механизмы ценообразования на бирже в систему ценообразования на энергоносители в целом.</w:t>
            </w:r>
            <w:r w:rsidRPr="005E4CD6">
              <w:rPr>
                <w:rFonts w:ascii="Times New Roman" w:eastAsia="Times New Roman" w:hAnsi="Times New Roman" w:cs="Times New Roman"/>
                <w:color w:val="2D2D2D"/>
                <w:sz w:val="21"/>
                <w:szCs w:val="21"/>
                <w:lang w:eastAsia="ru-RU"/>
              </w:rPr>
              <w:br/>
              <w:t>Развитие торговли энергетическими деривативами (фьючерсами, опционами и прочее) с использованием валюты Российской Федерации</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Стимулирование расширения биржевой торговли энергоносителями на российских площадках, осуществляющих расчеты за рубли за счет:</w:t>
            </w:r>
            <w:r w:rsidRPr="005E4CD6">
              <w:rPr>
                <w:rFonts w:ascii="Times New Roman" w:eastAsia="Times New Roman" w:hAnsi="Times New Roman" w:cs="Times New Roman"/>
                <w:color w:val="2D2D2D"/>
                <w:sz w:val="21"/>
                <w:szCs w:val="21"/>
                <w:lang w:eastAsia="ru-RU"/>
              </w:rPr>
              <w:br/>
              <w:t>привлечения зарубежных компаний-производителей и потребителей энергоресурсов (в том числе из стран ближнего зарубежья) к работе на российских биржевых площадках;</w:t>
            </w:r>
            <w:r w:rsidRPr="005E4CD6">
              <w:rPr>
                <w:rFonts w:ascii="Times New Roman" w:eastAsia="Times New Roman" w:hAnsi="Times New Roman" w:cs="Times New Roman"/>
                <w:color w:val="2D2D2D"/>
                <w:sz w:val="21"/>
                <w:szCs w:val="21"/>
                <w:lang w:eastAsia="ru-RU"/>
              </w:rPr>
              <w:br/>
              <w:t>привлечения широкого круга инвесторов, в том числе населения, к инвестированию в энергетические деривативы российских биржевых площадок</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Доведение доли биржевой торговли энергоносителями до 5-10 процентов объема внутреннего рынка</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Доведение доли биржевой торговли энергоносителями до</w:t>
            </w:r>
            <w:r w:rsidRPr="005E4CD6">
              <w:rPr>
                <w:rFonts w:ascii="Times New Roman" w:eastAsia="Times New Roman" w:hAnsi="Times New Roman" w:cs="Times New Roman"/>
                <w:color w:val="2D2D2D"/>
                <w:sz w:val="21"/>
                <w:szCs w:val="21"/>
                <w:lang w:eastAsia="ru-RU"/>
              </w:rPr>
              <w:br/>
              <w:t>15-20 процентов объема внутреннего рынка</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br/>
              <w:t>7. Формирование эффективной и стабильной системы тарифо- и ценообразования на энергетических рынках</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Совершенствование системы адресной социальной защиты населения в рамках мероприятий по ликвидации перекрестного субсидирования.</w:t>
            </w:r>
            <w:r w:rsidRPr="005E4CD6">
              <w:rPr>
                <w:rFonts w:ascii="Times New Roman" w:eastAsia="Times New Roman" w:hAnsi="Times New Roman" w:cs="Times New Roman"/>
                <w:color w:val="2D2D2D"/>
                <w:sz w:val="21"/>
                <w:szCs w:val="21"/>
                <w:lang w:eastAsia="ru-RU"/>
              </w:rPr>
              <w:br/>
              <w:t>Управляемая либерализация цен на энергоносители (в том числе на газ и электроэнергию) на внутреннем рынке при сохранении государственного регулирования тарифов на транспортировку газа и электроэнергии.</w:t>
            </w:r>
            <w:r w:rsidRPr="005E4CD6">
              <w:rPr>
                <w:rFonts w:ascii="Times New Roman" w:eastAsia="Times New Roman" w:hAnsi="Times New Roman" w:cs="Times New Roman"/>
                <w:color w:val="2D2D2D"/>
                <w:sz w:val="21"/>
                <w:szCs w:val="21"/>
                <w:lang w:eastAsia="ru-RU"/>
              </w:rPr>
              <w:br/>
              <w:t>Разработка нормативно-правовой базы, определяющей принципы государственного резервирования топливно-энергетических ресурсов для проведения организованных товарных интервенций для стабилизации энергетических рынков в условиях кризисов. Ликвидация перекрестного субсидирования</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Создание государственных резервов нефти, нефтепродуктов и природного газа для проведения организованных товарных интервенций для стабилизации энергетических рынков в условиях кризисов</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Формирование устойчивой ценовой политики, отвечающей интересам производителей и потребителей энергоресурсов</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Завершение либерализации внутренних рынков электроэнергии и газа</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Завершение либерализации внутреннего рынка тепловой энергии</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r>
            <w:r w:rsidRPr="005E4CD6">
              <w:rPr>
                <w:rFonts w:ascii="Times New Roman" w:eastAsia="Times New Roman" w:hAnsi="Times New Roman" w:cs="Times New Roman"/>
                <w:b/>
                <w:bCs/>
                <w:color w:val="2D2D2D"/>
                <w:sz w:val="21"/>
                <w:szCs w:val="21"/>
                <w:lang w:eastAsia="ru-RU"/>
              </w:rPr>
              <w:t>Формирование рационального топливно-энергетического баланса</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8. Снижение доли газа в структуре внутреннего потребления топливно-энергетических ресурсов и увеличение доли нетопливной энергетики в структуре топливно-энергетического баланса</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Разработка и внедрение экономического механизма эффективной межтопливной конкуренции на взаимозаменяемые энергоносители (газ/уголь).</w:t>
            </w:r>
            <w:r w:rsidRPr="005E4CD6">
              <w:rPr>
                <w:rFonts w:ascii="Times New Roman" w:eastAsia="Times New Roman" w:hAnsi="Times New Roman" w:cs="Times New Roman"/>
                <w:color w:val="2D2D2D"/>
                <w:sz w:val="21"/>
                <w:szCs w:val="21"/>
                <w:lang w:eastAsia="ru-RU"/>
              </w:rPr>
              <w:br/>
              <w:t>Государственная поддержка и прямое финансирование развития атомной генерации в стране.</w:t>
            </w:r>
            <w:r w:rsidRPr="005E4CD6">
              <w:rPr>
                <w:rFonts w:ascii="Times New Roman" w:eastAsia="Times New Roman" w:hAnsi="Times New Roman" w:cs="Times New Roman"/>
                <w:color w:val="2D2D2D"/>
                <w:sz w:val="21"/>
                <w:szCs w:val="21"/>
                <w:lang w:eastAsia="ru-RU"/>
              </w:rPr>
              <w:br/>
              <w:t xml:space="preserve">Государственная поддержка развития угольной генерации </w:t>
            </w:r>
            <w:r w:rsidRPr="005E4CD6">
              <w:rPr>
                <w:rFonts w:ascii="Times New Roman" w:eastAsia="Times New Roman" w:hAnsi="Times New Roman" w:cs="Times New Roman"/>
                <w:color w:val="2D2D2D"/>
                <w:sz w:val="21"/>
                <w:szCs w:val="21"/>
                <w:lang w:eastAsia="ru-RU"/>
              </w:rPr>
              <w:lastRenderedPageBreak/>
              <w:t>(стимулирующее налогообложение, ускоренная амортизация, льготное кредитование, страхование рисков, упрощение процедур землеотвода и прочее).</w:t>
            </w:r>
            <w:r w:rsidRPr="005E4CD6">
              <w:rPr>
                <w:rFonts w:ascii="Times New Roman" w:eastAsia="Times New Roman" w:hAnsi="Times New Roman" w:cs="Times New Roman"/>
                <w:color w:val="2D2D2D"/>
                <w:sz w:val="21"/>
                <w:szCs w:val="21"/>
                <w:lang w:eastAsia="ru-RU"/>
              </w:rPr>
              <w:br/>
              <w:t>Реализация политики развития возобновляемых источников энергии на основе:</w:t>
            </w:r>
            <w:r w:rsidRPr="005E4CD6">
              <w:rPr>
                <w:rFonts w:ascii="Times New Roman" w:eastAsia="Times New Roman" w:hAnsi="Times New Roman" w:cs="Times New Roman"/>
                <w:color w:val="2D2D2D"/>
                <w:sz w:val="21"/>
                <w:szCs w:val="21"/>
                <w:lang w:eastAsia="ru-RU"/>
              </w:rPr>
              <w:br/>
              <w:t>создания институциональной основы использования возобновляемых источников энергии в энергетике;</w:t>
            </w:r>
            <w:r w:rsidRPr="005E4CD6">
              <w:rPr>
                <w:rFonts w:ascii="Times New Roman" w:eastAsia="Times New Roman" w:hAnsi="Times New Roman" w:cs="Times New Roman"/>
                <w:color w:val="2D2D2D"/>
                <w:sz w:val="21"/>
                <w:szCs w:val="21"/>
                <w:lang w:eastAsia="ru-RU"/>
              </w:rPr>
              <w:br/>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Поддержание эффективности и устойчивости межтопливной конкуренции на основе системы опережающего мониторинга цен на взаимозаменяемые энергоносители (газ/уголь).</w:t>
            </w:r>
            <w:r w:rsidRPr="005E4CD6">
              <w:rPr>
                <w:rFonts w:ascii="Times New Roman" w:eastAsia="Times New Roman" w:hAnsi="Times New Roman" w:cs="Times New Roman"/>
                <w:color w:val="2D2D2D"/>
                <w:sz w:val="21"/>
                <w:szCs w:val="21"/>
                <w:lang w:eastAsia="ru-RU"/>
              </w:rPr>
              <w:br/>
              <w:t>Государственная поддержка развития атомной и угольной генерации</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Активное развитие возобновляемых источников энергии и неуглеводородной энергетики в целом на основе внедрения передовых технологий и использования механизмов частно-государственного партнерства</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стимулирующего налогообложения электростанций и источников теплоснабжения на возобновляемых источниках энергии;</w:t>
            </w:r>
            <w:r w:rsidRPr="005E4CD6">
              <w:rPr>
                <w:rFonts w:ascii="Times New Roman" w:eastAsia="Times New Roman" w:hAnsi="Times New Roman" w:cs="Times New Roman"/>
                <w:color w:val="2D2D2D"/>
                <w:sz w:val="21"/>
                <w:szCs w:val="21"/>
                <w:lang w:eastAsia="ru-RU"/>
              </w:rPr>
              <w:br/>
              <w:t>внедрения системы гарантированного подключения и доступа к электрическим сетям для электростанций, работающих на возобновляемых источниках энергии</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Обеспечение соотношения внутренних цен на газ и уголь 1,8-2,2</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Обеспечение соотношения внутренних цен на газ и уголь 2,5-2,8</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Доведение доли газа в топливно-энергетическом балансе до 51-52 процентов</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Доведение доли газа в топливно-энергетическом балансе до</w:t>
            </w:r>
            <w:r w:rsidRPr="005E4CD6">
              <w:rPr>
                <w:rFonts w:ascii="Times New Roman" w:eastAsia="Times New Roman" w:hAnsi="Times New Roman" w:cs="Times New Roman"/>
                <w:color w:val="2D2D2D"/>
                <w:sz w:val="21"/>
                <w:szCs w:val="21"/>
                <w:lang w:eastAsia="ru-RU"/>
              </w:rPr>
              <w:br/>
              <w:t>48-49 процентов</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Доведение доли газа в топливно-энергетическом балансе до 46-47 процентов</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Доведение доли нетопливной энергетики в топливно-энергетическом балансе до</w:t>
            </w:r>
            <w:r w:rsidRPr="005E4CD6">
              <w:rPr>
                <w:rFonts w:ascii="Times New Roman" w:eastAsia="Times New Roman" w:hAnsi="Times New Roman" w:cs="Times New Roman"/>
                <w:color w:val="2D2D2D"/>
                <w:sz w:val="21"/>
                <w:szCs w:val="21"/>
                <w:lang w:eastAsia="ru-RU"/>
              </w:rPr>
              <w:br/>
              <w:t>11-12 процентов</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Доведение доли нетопливной энергетики в топливно-энергетическом</w:t>
            </w:r>
            <w:r w:rsidRPr="005E4CD6">
              <w:rPr>
                <w:rFonts w:ascii="Times New Roman" w:eastAsia="Times New Roman" w:hAnsi="Times New Roman" w:cs="Times New Roman"/>
                <w:color w:val="2D2D2D"/>
                <w:sz w:val="21"/>
                <w:szCs w:val="21"/>
                <w:lang w:eastAsia="ru-RU"/>
              </w:rPr>
              <w:br/>
              <w:t>балансе до 13-14 процентов</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9. Обеспечение рационального соотношения экспорта и внутреннего потребления топливно-энергетических ресурсов</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 xml:space="preserve">Выравнивание вывозных таможенных пошлин на темные и светлые нефтепродукты с целью повышения экономической эффективности внутрироссийских проектов по </w:t>
            </w:r>
            <w:r w:rsidRPr="005E4CD6">
              <w:rPr>
                <w:rFonts w:ascii="Times New Roman" w:eastAsia="Times New Roman" w:hAnsi="Times New Roman" w:cs="Times New Roman"/>
                <w:color w:val="2D2D2D"/>
                <w:sz w:val="21"/>
                <w:szCs w:val="21"/>
                <w:lang w:eastAsia="ru-RU"/>
              </w:rPr>
              <w:lastRenderedPageBreak/>
              <w:t>глубокой переработке нефти.</w:t>
            </w:r>
            <w:r w:rsidRPr="005E4CD6">
              <w:rPr>
                <w:rFonts w:ascii="Times New Roman" w:eastAsia="Times New Roman" w:hAnsi="Times New Roman" w:cs="Times New Roman"/>
                <w:color w:val="2D2D2D"/>
                <w:sz w:val="21"/>
                <w:szCs w:val="21"/>
                <w:lang w:eastAsia="ru-RU"/>
              </w:rPr>
              <w:br/>
              <w:t>Обеспечение равнодоходности поставок энергоносителей на внутренний рынок и на экспорт за счет:</w:t>
            </w:r>
            <w:r w:rsidRPr="005E4CD6">
              <w:rPr>
                <w:rFonts w:ascii="Times New Roman" w:eastAsia="Times New Roman" w:hAnsi="Times New Roman" w:cs="Times New Roman"/>
                <w:color w:val="2D2D2D"/>
                <w:sz w:val="21"/>
                <w:szCs w:val="21"/>
                <w:lang w:eastAsia="ru-RU"/>
              </w:rPr>
              <w:br/>
              <w:t>рационального регулирования таможенных пошлин;</w:t>
            </w:r>
            <w:r w:rsidRPr="005E4CD6">
              <w:rPr>
                <w:rFonts w:ascii="Times New Roman" w:eastAsia="Times New Roman" w:hAnsi="Times New Roman" w:cs="Times New Roman"/>
                <w:color w:val="2D2D2D"/>
                <w:sz w:val="21"/>
                <w:szCs w:val="21"/>
                <w:lang w:eastAsia="ru-RU"/>
              </w:rPr>
              <w:br/>
              <w:t>экономически обоснованного повышения внутренних цен на энергоносители</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 xml:space="preserve">Создание эффективной устойчивой системы оптимизации экспорта и внутреннего потребления топливно-энергетических ресурсов на базе учета </w:t>
            </w:r>
            <w:r w:rsidRPr="005E4CD6">
              <w:rPr>
                <w:rFonts w:ascii="Times New Roman" w:eastAsia="Times New Roman" w:hAnsi="Times New Roman" w:cs="Times New Roman"/>
                <w:color w:val="2D2D2D"/>
                <w:sz w:val="21"/>
                <w:szCs w:val="21"/>
                <w:lang w:eastAsia="ru-RU"/>
              </w:rPr>
              <w:lastRenderedPageBreak/>
              <w:t>мировых и внутренних цен, текущих требований обеспечения энергетической безопасности и геополитических интересов страны</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Опережающий рост внутреннего потребления основных видов топливно-энергетических ресурсов (нефть, газ, уголь)</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Снижение темпов роста экспорта топливно-энергетических ресурсов с низкой добавленной стоимостью</w:t>
            </w:r>
            <w:r w:rsidRPr="005E4CD6">
              <w:rPr>
                <w:rFonts w:ascii="Times New Roman" w:eastAsia="Times New Roman" w:hAnsi="Times New Roman" w:cs="Times New Roman"/>
                <w:color w:val="2D2D2D"/>
                <w:sz w:val="21"/>
                <w:szCs w:val="21"/>
                <w:lang w:eastAsia="ru-RU"/>
              </w:rPr>
              <w:br/>
              <w:t>(нефть, природный газ, необогащенный уголь и прочее)</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10. Стимулирование производства, экспорта и внутреннего потребления энергоносителей с высокой добавленной стоимостью</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Стимулирование повышения качества моторных топлив и глубины переработки нефти на основе:</w:t>
            </w:r>
            <w:r w:rsidRPr="005E4CD6">
              <w:rPr>
                <w:rFonts w:ascii="Times New Roman" w:eastAsia="Times New Roman" w:hAnsi="Times New Roman" w:cs="Times New Roman"/>
                <w:color w:val="2D2D2D"/>
                <w:sz w:val="21"/>
                <w:szCs w:val="21"/>
                <w:lang w:eastAsia="ru-RU"/>
              </w:rPr>
              <w:br/>
              <w:t>ужесточения стандартов качества моторного топлива;</w:t>
            </w:r>
            <w:r w:rsidRPr="005E4CD6">
              <w:rPr>
                <w:rFonts w:ascii="Times New Roman" w:eastAsia="Times New Roman" w:hAnsi="Times New Roman" w:cs="Times New Roman"/>
                <w:color w:val="2D2D2D"/>
                <w:sz w:val="21"/>
                <w:szCs w:val="21"/>
                <w:lang w:eastAsia="ru-RU"/>
              </w:rPr>
              <w:br/>
              <w:t>дифференциации ставок акцизов, стимулирующей производство качественного топлива;</w:t>
            </w:r>
            <w:r w:rsidRPr="005E4CD6">
              <w:rPr>
                <w:rFonts w:ascii="Times New Roman" w:eastAsia="Times New Roman" w:hAnsi="Times New Roman" w:cs="Times New Roman"/>
                <w:color w:val="2D2D2D"/>
                <w:sz w:val="21"/>
                <w:szCs w:val="21"/>
                <w:lang w:eastAsia="ru-RU"/>
              </w:rPr>
              <w:br/>
              <w:t>стимулирования модернизации нефте- и газоперерабатывающих комплексов на территории Российской Федерации</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Стимулирование производства и экспорта продукции газохимии и нефтехимии</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Государственная поддержка развития производства синтетического жидкого топлива на основе всех видов энергоресурсов (природный газ, уголь, биомасса и прочее)</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Осуществление комплекса программных мер по развитию нефте- и газохимии в Восточной Сибири и на Дальнем Востоке.</w:t>
            </w:r>
            <w:r w:rsidRPr="005E4CD6">
              <w:rPr>
                <w:rFonts w:ascii="Times New Roman" w:eastAsia="Times New Roman" w:hAnsi="Times New Roman" w:cs="Times New Roman"/>
                <w:color w:val="2D2D2D"/>
                <w:sz w:val="21"/>
                <w:szCs w:val="21"/>
                <w:lang w:eastAsia="ru-RU"/>
              </w:rPr>
              <w:br/>
              <w:t>Государственная поддержка пилотных проектов обогащения и глубокой переработки угля</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Рост экспорта топливно-энергетических ресурсов с высокой добавленной стоимостью (моторные топлива, продукты нефтехимии, газохимии и углехимии и прочее)</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Исключение из оборота топлива с классом</w:t>
            </w:r>
            <w:r w:rsidRPr="005E4CD6">
              <w:rPr>
                <w:rFonts w:ascii="Times New Roman" w:eastAsia="Times New Roman" w:hAnsi="Times New Roman" w:cs="Times New Roman"/>
                <w:color w:val="2D2D2D"/>
                <w:sz w:val="21"/>
                <w:szCs w:val="21"/>
                <w:lang w:eastAsia="ru-RU"/>
              </w:rPr>
              <w:br/>
              <w:t>ниже 4-го.</w:t>
            </w:r>
            <w:r w:rsidRPr="005E4CD6">
              <w:rPr>
                <w:rFonts w:ascii="Times New Roman" w:eastAsia="Times New Roman" w:hAnsi="Times New Roman" w:cs="Times New Roman"/>
                <w:color w:val="2D2D2D"/>
                <w:sz w:val="21"/>
                <w:szCs w:val="21"/>
                <w:lang w:eastAsia="ru-RU"/>
              </w:rPr>
              <w:br/>
              <w:t xml:space="preserve">Обеспечение глубины </w:t>
            </w:r>
            <w:r w:rsidRPr="005E4CD6">
              <w:rPr>
                <w:rFonts w:ascii="Times New Roman" w:eastAsia="Times New Roman" w:hAnsi="Times New Roman" w:cs="Times New Roman"/>
                <w:color w:val="2D2D2D"/>
                <w:sz w:val="21"/>
                <w:szCs w:val="21"/>
                <w:lang w:eastAsia="ru-RU"/>
              </w:rPr>
              <w:lastRenderedPageBreak/>
              <w:t>нефтепереработки не менее 78-79 процентов</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Исключение из оборота топлива с классом ниже 5-го.</w:t>
            </w:r>
            <w:r w:rsidRPr="005E4CD6">
              <w:rPr>
                <w:rFonts w:ascii="Times New Roman" w:eastAsia="Times New Roman" w:hAnsi="Times New Roman" w:cs="Times New Roman"/>
                <w:color w:val="2D2D2D"/>
                <w:sz w:val="21"/>
                <w:szCs w:val="21"/>
                <w:lang w:eastAsia="ru-RU"/>
              </w:rPr>
              <w:br/>
              <w:t>Обеспечение глубины нефтепереработки не менее 82-83 процентов</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Обеспечение глубины нефтепереработки не менее 89-90 процентов</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r>
            <w:r w:rsidRPr="005E4CD6">
              <w:rPr>
                <w:rFonts w:ascii="Times New Roman" w:eastAsia="Times New Roman" w:hAnsi="Times New Roman" w:cs="Times New Roman"/>
                <w:b/>
                <w:bCs/>
                <w:color w:val="2D2D2D"/>
                <w:sz w:val="21"/>
                <w:szCs w:val="21"/>
                <w:lang w:eastAsia="ru-RU"/>
              </w:rPr>
              <w:t>Региональная энергетическая политика</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11. Совершенствование взаимодействия федеральных и региональных властей в энергетической сфере</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Законодательное разграничение полномочий и ответственности в сфере энергосбережения, в отношении обеспечения надежности и безопасности энергоснабжения, а также мер регулирования в энергетическом секторе между федеральными, региональными органами исполнительной власти и органами местного самоуправления</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Усиление совместного контроля за соблюдением хозяйствующими субъектами федерального и регионального законодательства в сфере энергетики</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Формирование устойчивой системы взаимодействия региональных и федеральных властей в сфере энергетической политики</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Гармонизация федеральных программ и стратегий развития отдельных отраслей топливно-энергетического комплекса с программами и стратегиями социально-экономического развития регионов.</w:t>
            </w:r>
            <w:r w:rsidRPr="005E4CD6">
              <w:rPr>
                <w:rFonts w:ascii="Times New Roman" w:eastAsia="Times New Roman" w:hAnsi="Times New Roman" w:cs="Times New Roman"/>
                <w:color w:val="2D2D2D"/>
                <w:sz w:val="21"/>
                <w:szCs w:val="21"/>
                <w:lang w:eastAsia="ru-RU"/>
              </w:rPr>
              <w:br/>
              <w:t>Оптимизация системы финансовых отношений между федеральным центром и ресурсодобывающими регионами</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Согласованность федеральных программ развития энергетики и программ социально-экономического развития регионов</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Эффективная система разделения полномочий и ответственности в энергетической сфере</w:t>
            </w:r>
            <w:r w:rsidRPr="005E4CD6">
              <w:rPr>
                <w:rFonts w:ascii="Times New Roman" w:eastAsia="Times New Roman" w:hAnsi="Times New Roman" w:cs="Times New Roman"/>
                <w:color w:val="2D2D2D"/>
                <w:sz w:val="21"/>
                <w:szCs w:val="21"/>
                <w:lang w:eastAsia="ru-RU"/>
              </w:rPr>
              <w:br/>
              <w:t>между федеральными, региональными и местными властями</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12. Государственная поддержка развития региональной и межрегиональной энергетической инфраструктуры</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Государственная поддержка строительства и расширения региональной и межрегиональной энергетической инфраструктуры.</w:t>
            </w:r>
            <w:r w:rsidRPr="005E4CD6">
              <w:rPr>
                <w:rFonts w:ascii="Times New Roman" w:eastAsia="Times New Roman" w:hAnsi="Times New Roman" w:cs="Times New Roman"/>
                <w:color w:val="2D2D2D"/>
                <w:sz w:val="21"/>
                <w:szCs w:val="21"/>
                <w:lang w:eastAsia="ru-RU"/>
              </w:rPr>
              <w:br/>
              <w:t>Государственная поддержка модернизации и оптимизации режима эксплуатации существующей региональной энергетической инфраструктуры.</w:t>
            </w:r>
            <w:r w:rsidRPr="005E4CD6">
              <w:rPr>
                <w:rFonts w:ascii="Times New Roman" w:eastAsia="Times New Roman" w:hAnsi="Times New Roman" w:cs="Times New Roman"/>
                <w:color w:val="2D2D2D"/>
                <w:sz w:val="21"/>
                <w:szCs w:val="21"/>
                <w:lang w:eastAsia="ru-RU"/>
              </w:rPr>
              <w:br/>
              <w:t xml:space="preserve">Формирование обязательной системы сезонного резервирования топлива для </w:t>
            </w:r>
            <w:r w:rsidRPr="005E4CD6">
              <w:rPr>
                <w:rFonts w:ascii="Times New Roman" w:eastAsia="Times New Roman" w:hAnsi="Times New Roman" w:cs="Times New Roman"/>
                <w:color w:val="2D2D2D"/>
                <w:sz w:val="21"/>
                <w:szCs w:val="21"/>
                <w:lang w:eastAsia="ru-RU"/>
              </w:rPr>
              <w:lastRenderedPageBreak/>
              <w:t>проблемных регионов. Обеспечение достаточной пропускной способности энерготранспортной инфраструктуры (газопроводы, электрические сети) в пиковые периоды энергопотребления</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Государственная поддержка развития региональной энергетической инфраструктуры сообразно с типом регионального энергетического развития.</w:t>
            </w:r>
            <w:r w:rsidRPr="005E4CD6">
              <w:rPr>
                <w:rFonts w:ascii="Times New Roman" w:eastAsia="Times New Roman" w:hAnsi="Times New Roman" w:cs="Times New Roman"/>
                <w:color w:val="2D2D2D"/>
                <w:sz w:val="21"/>
                <w:szCs w:val="21"/>
                <w:lang w:eastAsia="ru-RU"/>
              </w:rPr>
              <w:br/>
              <w:t xml:space="preserve">Поддержание устойчивости функционирования существующей и государственная поддержка строительства новой региональной и межрегиональной </w:t>
            </w:r>
            <w:r w:rsidRPr="005E4CD6">
              <w:rPr>
                <w:rFonts w:ascii="Times New Roman" w:eastAsia="Times New Roman" w:hAnsi="Times New Roman" w:cs="Times New Roman"/>
                <w:color w:val="2D2D2D"/>
                <w:sz w:val="21"/>
                <w:szCs w:val="21"/>
                <w:lang w:eastAsia="ru-RU"/>
              </w:rPr>
              <w:lastRenderedPageBreak/>
              <w:t>энергетической инфраструктуры</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Реализация региональных стратегических инициатив государства и бизнеса на условиях частно-государственного партнерства в части освоения полуострова Ямал, Арктики, Восточной Сибири и Дальнего Востока</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Ликвидация "узких мест" в энергоснабжении регионов</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Минимизация диспропорций в энергообеспеченности между энергоизбыточными и энергодефицитными регионами страны</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13. Стимулирование комплексного развития региональной энергетики</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Разработка и реализация региональных энергетических программ (в том числе программ энергосбережения).</w:t>
            </w:r>
            <w:r w:rsidRPr="005E4CD6">
              <w:rPr>
                <w:rFonts w:ascii="Times New Roman" w:eastAsia="Times New Roman" w:hAnsi="Times New Roman" w:cs="Times New Roman"/>
                <w:color w:val="2D2D2D"/>
                <w:sz w:val="21"/>
                <w:szCs w:val="21"/>
                <w:lang w:eastAsia="ru-RU"/>
              </w:rPr>
              <w:br/>
              <w:t>Стимулирование развития регионального малого и среднего бизнеса в сфере энергетических услуг.</w:t>
            </w:r>
            <w:r w:rsidRPr="005E4CD6">
              <w:rPr>
                <w:rFonts w:ascii="Times New Roman" w:eastAsia="Times New Roman" w:hAnsi="Times New Roman" w:cs="Times New Roman"/>
                <w:color w:val="2D2D2D"/>
                <w:sz w:val="21"/>
                <w:szCs w:val="21"/>
                <w:lang w:eastAsia="ru-RU"/>
              </w:rPr>
              <w:br/>
              <w:t>Стимулирование использования местных топливно-энергетических ресурсов (возобновляемые источники энергии, местные виды топлив, отходы и прочее) с последующим их вовлечением в региональные топливно-энергетические балансы.</w:t>
            </w:r>
            <w:r w:rsidRPr="005E4CD6">
              <w:rPr>
                <w:rFonts w:ascii="Times New Roman" w:eastAsia="Times New Roman" w:hAnsi="Times New Roman" w:cs="Times New Roman"/>
                <w:color w:val="2D2D2D"/>
                <w:sz w:val="21"/>
                <w:szCs w:val="21"/>
                <w:lang w:eastAsia="ru-RU"/>
              </w:rPr>
              <w:br/>
              <w:t>Оптимизация региональных систем теплоснабжения на основе экономически эффективного сочетания централизованного и децентрализованного теплоснабжения</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Формирование устойчивой системы энергетического обеспечения труднодоступных и удаленных территорий на основе расширенного эффективного использования местных энергоресурсов</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Формирование региональных энергетических систем на основе экономически эффективного сочетания использования местных и привозных источников энергии, оптимального режима работы региональной и межрегиональной энергетической инфраструктуры, снижения вредного воздействия на окружающую среду</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Доведение доли местных источников энергии в региональных топливно-энергетических балансах до 10 процентов</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Качественное повышение уровня региональной энергетической безопасности</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Доведение доли местных источников энергии в региональных топливно-энергетических балансах до 20 процентов.</w:t>
            </w:r>
            <w:r w:rsidRPr="005E4CD6">
              <w:rPr>
                <w:rFonts w:ascii="Times New Roman" w:eastAsia="Times New Roman" w:hAnsi="Times New Roman" w:cs="Times New Roman"/>
                <w:color w:val="2D2D2D"/>
                <w:sz w:val="21"/>
                <w:szCs w:val="21"/>
                <w:lang w:eastAsia="ru-RU"/>
              </w:rPr>
              <w:br/>
              <w:t xml:space="preserve">Оптимизация территориальной структуры </w:t>
            </w:r>
            <w:r w:rsidRPr="005E4CD6">
              <w:rPr>
                <w:rFonts w:ascii="Times New Roman" w:eastAsia="Times New Roman" w:hAnsi="Times New Roman" w:cs="Times New Roman"/>
                <w:color w:val="2D2D2D"/>
                <w:sz w:val="21"/>
                <w:szCs w:val="21"/>
                <w:lang w:eastAsia="ru-RU"/>
              </w:rPr>
              <w:lastRenderedPageBreak/>
              <w:t>производства и потребления топливно-энергетических ресурсов</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br/>
            </w:r>
            <w:r w:rsidRPr="005E4CD6">
              <w:rPr>
                <w:rFonts w:ascii="Times New Roman" w:eastAsia="Times New Roman" w:hAnsi="Times New Roman" w:cs="Times New Roman"/>
                <w:b/>
                <w:bCs/>
                <w:color w:val="2D2D2D"/>
                <w:sz w:val="21"/>
                <w:szCs w:val="21"/>
                <w:lang w:eastAsia="ru-RU"/>
              </w:rPr>
              <w:t>Инновационная и научно-техническая политика в энергетике</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14. Создание устойчивой национальной инновационной системы в сфере энергетики</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Формирование основ национальной инновационной системы топливно-энергетического комплекса на базе:</w:t>
            </w:r>
            <w:r w:rsidRPr="005E4CD6">
              <w:rPr>
                <w:rFonts w:ascii="Times New Roman" w:eastAsia="Times New Roman" w:hAnsi="Times New Roman" w:cs="Times New Roman"/>
                <w:color w:val="2D2D2D"/>
                <w:sz w:val="21"/>
                <w:szCs w:val="21"/>
                <w:lang w:eastAsia="ru-RU"/>
              </w:rPr>
              <w:br/>
              <w:t>создания системы технологического прогнозирования в энергетике;</w:t>
            </w:r>
            <w:r w:rsidRPr="005E4CD6">
              <w:rPr>
                <w:rFonts w:ascii="Times New Roman" w:eastAsia="Times New Roman" w:hAnsi="Times New Roman" w:cs="Times New Roman"/>
                <w:color w:val="2D2D2D"/>
                <w:sz w:val="21"/>
                <w:szCs w:val="21"/>
                <w:lang w:eastAsia="ru-RU"/>
              </w:rPr>
              <w:br/>
              <w:t>государственной поддержки импорта ключевых комплексных технологий и покупки инновационных зарубежных активов ("технологических доноров") в сфере топливно-энергетического комплекса;</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Опережающее развитие отечественных инновационных технологий в сфере топливно-энергетического комплекса на основе:</w:t>
            </w:r>
            <w:r w:rsidRPr="005E4CD6">
              <w:rPr>
                <w:rFonts w:ascii="Times New Roman" w:eastAsia="Times New Roman" w:hAnsi="Times New Roman" w:cs="Times New Roman"/>
                <w:color w:val="2D2D2D"/>
                <w:sz w:val="21"/>
                <w:szCs w:val="21"/>
                <w:lang w:eastAsia="ru-RU"/>
              </w:rPr>
              <w:br/>
              <w:t>создания технико-внедренческих зон и технопарков;</w:t>
            </w:r>
            <w:r w:rsidRPr="005E4CD6">
              <w:rPr>
                <w:rFonts w:ascii="Times New Roman" w:eastAsia="Times New Roman" w:hAnsi="Times New Roman" w:cs="Times New Roman"/>
                <w:color w:val="2D2D2D"/>
                <w:sz w:val="21"/>
                <w:szCs w:val="21"/>
                <w:lang w:eastAsia="ru-RU"/>
              </w:rPr>
              <w:br/>
              <w:t>содействия развитию венчурного бизнеса в сфере инноваций в энергетике</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Широкое внедрение отечественных энергетических инноваций на основе принципов проектного управления созданием и внедрением инновационных решений с участием государства и частных компаний</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создания единой системы научных и опытно-конструкторских центров, функционирующих на принципах частно-государственного партнерства и обеспечивающих весь процесс от начала разработки до коммерческой реализации инноваций в сфере топливно-энергетического комплекса;</w:t>
            </w:r>
            <w:r w:rsidRPr="005E4CD6">
              <w:rPr>
                <w:rFonts w:ascii="Times New Roman" w:eastAsia="Times New Roman" w:hAnsi="Times New Roman" w:cs="Times New Roman"/>
                <w:color w:val="2D2D2D"/>
                <w:sz w:val="21"/>
                <w:szCs w:val="21"/>
                <w:lang w:eastAsia="ru-RU"/>
              </w:rPr>
              <w:br/>
              <w:t>государственной поддержки использования возобновляемых источников энергии и исследований, направленных на повышение экономической эффективности проектов использования возобновляемых источников энергии;</w:t>
            </w:r>
            <w:r w:rsidRPr="005E4CD6">
              <w:rPr>
                <w:rFonts w:ascii="Times New Roman" w:eastAsia="Times New Roman" w:hAnsi="Times New Roman" w:cs="Times New Roman"/>
                <w:color w:val="2D2D2D"/>
                <w:sz w:val="21"/>
                <w:szCs w:val="21"/>
                <w:lang w:eastAsia="ru-RU"/>
              </w:rPr>
              <w:br/>
              <w:t>разработки и реализации комплекса программных мер по сохранению и развитию кадрового потенциала</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Развитие стимулирующего налогообложения для инжиниринговых, проектных фирм, а также для иных компаний</w:t>
            </w:r>
            <w:r w:rsidRPr="005E4CD6">
              <w:rPr>
                <w:rFonts w:ascii="Times New Roman" w:eastAsia="Times New Roman" w:hAnsi="Times New Roman" w:cs="Times New Roman"/>
                <w:color w:val="2D2D2D"/>
                <w:sz w:val="21"/>
                <w:szCs w:val="21"/>
                <w:lang w:eastAsia="ru-RU"/>
              </w:rPr>
              <w:br/>
              <w:t>(в том числе производственных), внедряющих передовые (инновационные) технологии в энергетике</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 xml:space="preserve">Доведение доли российского оборудования мирового </w:t>
            </w:r>
            <w:r w:rsidRPr="005E4CD6">
              <w:rPr>
                <w:rFonts w:ascii="Times New Roman" w:eastAsia="Times New Roman" w:hAnsi="Times New Roman" w:cs="Times New Roman"/>
                <w:color w:val="2D2D2D"/>
                <w:sz w:val="21"/>
                <w:szCs w:val="21"/>
                <w:lang w:eastAsia="ru-RU"/>
              </w:rPr>
              <w:lastRenderedPageBreak/>
              <w:t>технологического уровня в общих поставках оборудования для топливно-энергетического комплекса до 20 процентов</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 xml:space="preserve">Доведение доли российского оборудования мирового </w:t>
            </w:r>
            <w:r w:rsidRPr="005E4CD6">
              <w:rPr>
                <w:rFonts w:ascii="Times New Roman" w:eastAsia="Times New Roman" w:hAnsi="Times New Roman" w:cs="Times New Roman"/>
                <w:color w:val="2D2D2D"/>
                <w:sz w:val="21"/>
                <w:szCs w:val="21"/>
                <w:lang w:eastAsia="ru-RU"/>
              </w:rPr>
              <w:lastRenderedPageBreak/>
              <w:t>технологического уровня до 30 процентов</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 xml:space="preserve">Доведение доли российского оборудования мирового </w:t>
            </w:r>
            <w:r w:rsidRPr="005E4CD6">
              <w:rPr>
                <w:rFonts w:ascii="Times New Roman" w:eastAsia="Times New Roman" w:hAnsi="Times New Roman" w:cs="Times New Roman"/>
                <w:color w:val="2D2D2D"/>
                <w:sz w:val="21"/>
                <w:szCs w:val="21"/>
                <w:lang w:eastAsia="ru-RU"/>
              </w:rPr>
              <w:lastRenderedPageBreak/>
              <w:t>технологического уровня до 50 процентов</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br/>
            </w:r>
            <w:r w:rsidRPr="005E4CD6">
              <w:rPr>
                <w:rFonts w:ascii="Times New Roman" w:eastAsia="Times New Roman" w:hAnsi="Times New Roman" w:cs="Times New Roman"/>
                <w:b/>
                <w:bCs/>
                <w:color w:val="2D2D2D"/>
                <w:sz w:val="21"/>
                <w:szCs w:val="21"/>
                <w:lang w:eastAsia="ru-RU"/>
              </w:rPr>
              <w:t>Социальная политика в энергетике</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15. Обеспечение надежного энергоснабжения населения страны по доступным ценам</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Повышение надежности энергообеспечения населения, объектов жилищно-коммунального хозяйства и бюджетной сферы на основе:</w:t>
            </w:r>
            <w:r w:rsidRPr="005E4CD6">
              <w:rPr>
                <w:rFonts w:ascii="Times New Roman" w:eastAsia="Times New Roman" w:hAnsi="Times New Roman" w:cs="Times New Roman"/>
                <w:color w:val="2D2D2D"/>
                <w:sz w:val="21"/>
                <w:szCs w:val="21"/>
                <w:lang w:eastAsia="ru-RU"/>
              </w:rPr>
              <w:br/>
              <w:t>совершенствования нормативной правовой базы</w:t>
            </w:r>
            <w:r w:rsidRPr="005E4CD6">
              <w:rPr>
                <w:rFonts w:ascii="Times New Roman" w:eastAsia="Times New Roman" w:hAnsi="Times New Roman" w:cs="Times New Roman"/>
                <w:color w:val="2D2D2D"/>
                <w:sz w:val="21"/>
                <w:szCs w:val="21"/>
                <w:lang w:eastAsia="ru-RU"/>
              </w:rPr>
              <w:br/>
              <w:t>в целях повышения ответственности за энергоснабжение населения;</w:t>
            </w:r>
            <w:r w:rsidRPr="005E4CD6">
              <w:rPr>
                <w:rFonts w:ascii="Times New Roman" w:eastAsia="Times New Roman" w:hAnsi="Times New Roman" w:cs="Times New Roman"/>
                <w:color w:val="2D2D2D"/>
                <w:sz w:val="21"/>
                <w:szCs w:val="21"/>
                <w:lang w:eastAsia="ru-RU"/>
              </w:rPr>
              <w:br/>
              <w:t>ликвидации практики ведомственного энергоснабжения населения за счет крупных промышленных предприятий и организаций.</w:t>
            </w:r>
            <w:r w:rsidRPr="005E4CD6">
              <w:rPr>
                <w:rFonts w:ascii="Times New Roman" w:eastAsia="Times New Roman" w:hAnsi="Times New Roman" w:cs="Times New Roman"/>
                <w:color w:val="2D2D2D"/>
                <w:sz w:val="21"/>
                <w:szCs w:val="21"/>
                <w:lang w:eastAsia="ru-RU"/>
              </w:rPr>
              <w:br/>
            </w:r>
            <w:r w:rsidRPr="005E4CD6">
              <w:rPr>
                <w:rFonts w:ascii="Times New Roman" w:eastAsia="Times New Roman" w:hAnsi="Times New Roman" w:cs="Times New Roman"/>
                <w:color w:val="2D2D2D"/>
                <w:sz w:val="21"/>
                <w:szCs w:val="21"/>
                <w:lang w:eastAsia="ru-RU"/>
              </w:rPr>
              <w:br/>
              <w:t>Совершенствование регулирования розничных цен на энергию (газ, электроэнергия, тепло) для населения с учетом развития системы адресной социальной поддержки населения и повышения качества системы нормирования потребления населением топливно-энергетических ресурсов, используемых для бытовых нужд</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Создание эффективной и прозрачной системы механизмов контроля и регулирования темпов роста цен на энергию для населения</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Минимизация числа энергоаварий и отключений энергии в коммунально-бытовом секторе</w:t>
            </w:r>
            <w:r w:rsidRPr="005E4CD6">
              <w:rPr>
                <w:rFonts w:ascii="Times New Roman" w:eastAsia="Times New Roman" w:hAnsi="Times New Roman" w:cs="Times New Roman"/>
                <w:color w:val="2D2D2D"/>
                <w:sz w:val="21"/>
                <w:szCs w:val="21"/>
                <w:lang w:eastAsia="ru-RU"/>
              </w:rPr>
              <w:br/>
              <w:t>Доведение доли затрат на энергию (газ, электроэнергия, тепло) в доходах домохозяйств до уровня не более 15 процентов</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Доведение доли затрат на энергию (газ, электроэнергия, тепло) в доходах домохозяйств до уровня не более 12-13 процентов</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Доведение доли затрат на энергию (газ, электроэнергия, тепло) в доходах домохозяйств до уровня не более 8-10 процентов</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16. Расширение реального взаимодействия энергетического бизнеса и общества при решении проблем развития энергетического сектора</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Стимулирование создания публичных энергетических компаний за счет обеспечения им льготных условий получения государственных гарантий и кредитов, страхования инвестиций.</w:t>
            </w:r>
            <w:r w:rsidRPr="005E4CD6">
              <w:rPr>
                <w:rFonts w:ascii="Times New Roman" w:eastAsia="Times New Roman" w:hAnsi="Times New Roman" w:cs="Times New Roman"/>
                <w:color w:val="2D2D2D"/>
                <w:sz w:val="21"/>
                <w:szCs w:val="21"/>
                <w:lang w:eastAsia="ru-RU"/>
              </w:rPr>
              <w:br/>
              <w:t>Привлечение населения к участию в управлении публичными компаниями через пенсионные фонды и иные формы организации коллективных инвестиций.</w:t>
            </w:r>
            <w:r w:rsidRPr="005E4CD6">
              <w:rPr>
                <w:rFonts w:ascii="Times New Roman" w:eastAsia="Times New Roman" w:hAnsi="Times New Roman" w:cs="Times New Roman"/>
                <w:color w:val="2D2D2D"/>
                <w:sz w:val="21"/>
                <w:szCs w:val="21"/>
                <w:lang w:eastAsia="ru-RU"/>
              </w:rPr>
              <w:br/>
              <w:t>Привлечение населения к обсуждению крупных энергетических проектов в регионах, обязательный учет интересов местного населения при их реализации</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Поддержка роста численности и расширения спектра деятельности публичных энергетических компаний, стимулирование увеличения финансовых вложений населения в активы энергетических компаний.</w:t>
            </w:r>
            <w:r w:rsidRPr="005E4CD6">
              <w:rPr>
                <w:rFonts w:ascii="Times New Roman" w:eastAsia="Times New Roman" w:hAnsi="Times New Roman" w:cs="Times New Roman"/>
                <w:color w:val="2D2D2D"/>
                <w:sz w:val="21"/>
                <w:szCs w:val="21"/>
                <w:lang w:eastAsia="ru-RU"/>
              </w:rPr>
              <w:br/>
              <w:t>Рост числа публичных энергетических компаний.</w:t>
            </w:r>
            <w:r w:rsidRPr="005E4CD6">
              <w:rPr>
                <w:rFonts w:ascii="Times New Roman" w:eastAsia="Times New Roman" w:hAnsi="Times New Roman" w:cs="Times New Roman"/>
                <w:color w:val="2D2D2D"/>
                <w:sz w:val="21"/>
                <w:szCs w:val="21"/>
                <w:lang w:eastAsia="ru-RU"/>
              </w:rPr>
              <w:br/>
              <w:t>Рост объемов финансовых вложений населения в активы энергетических компаний</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Создание центров социального контроля деятельности публичных энергетических компаний, обеспечивающих комплексный учет интересов населения при долгосрочном планировании их развития (экология, социальная сфера и другие)</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17. Развитие и повышение эффективности использования человеческого потенциала в энергетическом секторе</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Восстановление единой российской системы подготовки кадров для топливно-энергетического комплекса на основе развития частно-государственного партнерства в сфере привлечения и подготовки молодых специалистов низшего и среднего звена.</w:t>
            </w:r>
            <w:r w:rsidRPr="005E4CD6">
              <w:rPr>
                <w:rFonts w:ascii="Times New Roman" w:eastAsia="Times New Roman" w:hAnsi="Times New Roman" w:cs="Times New Roman"/>
                <w:color w:val="2D2D2D"/>
                <w:sz w:val="21"/>
                <w:szCs w:val="21"/>
                <w:lang w:eastAsia="ru-RU"/>
              </w:rPr>
              <w:br/>
              <w:t>Расширенное воспроизводство и привлечение кадрового потенциала для освоения новых районов Восточной Сибири и Дальнего Востока, полуострова Ямал и арктического континентального шельфа на основе:</w:t>
            </w:r>
            <w:r w:rsidRPr="005E4CD6">
              <w:rPr>
                <w:rFonts w:ascii="Times New Roman" w:eastAsia="Times New Roman" w:hAnsi="Times New Roman" w:cs="Times New Roman"/>
                <w:color w:val="2D2D2D"/>
                <w:sz w:val="21"/>
                <w:szCs w:val="21"/>
                <w:lang w:eastAsia="ru-RU"/>
              </w:rPr>
              <w:br/>
              <w:t>создания системы специализированных региональных центров подготовки специалистов в сфере топливно-энергетического комплекса;</w:t>
            </w:r>
            <w:r w:rsidRPr="005E4CD6">
              <w:rPr>
                <w:rFonts w:ascii="Times New Roman" w:eastAsia="Times New Roman" w:hAnsi="Times New Roman" w:cs="Times New Roman"/>
                <w:color w:val="2D2D2D"/>
                <w:sz w:val="21"/>
                <w:szCs w:val="21"/>
                <w:lang w:eastAsia="ru-RU"/>
              </w:rPr>
              <w:br/>
              <w:t xml:space="preserve">обеспечения всех социальных </w:t>
            </w:r>
            <w:r w:rsidRPr="005E4CD6">
              <w:rPr>
                <w:rFonts w:ascii="Times New Roman" w:eastAsia="Times New Roman" w:hAnsi="Times New Roman" w:cs="Times New Roman"/>
                <w:color w:val="2D2D2D"/>
                <w:sz w:val="21"/>
                <w:szCs w:val="21"/>
                <w:lang w:eastAsia="ru-RU"/>
              </w:rPr>
              <w:lastRenderedPageBreak/>
              <w:t>условий работы персонала в сложных природных условиях освоения новых районов, в том числе вахтовым способом за счет использования мобильных систем социальной инфраструктуры</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Формирование устойчивой саморегулирующейся системы воспроизводства кадров для топливно-энергетического комплекса на основе стимулирования мобильности персонала и совершенствования принципов проектного управления кадровым потенциалом топливно-энергетического комплекса</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Доведение числа занятых в возрасте моложе 40 лет до 30 процентов.</w:t>
            </w:r>
            <w:r w:rsidRPr="005E4CD6">
              <w:rPr>
                <w:rFonts w:ascii="Times New Roman" w:eastAsia="Times New Roman" w:hAnsi="Times New Roman" w:cs="Times New Roman"/>
                <w:color w:val="2D2D2D"/>
                <w:sz w:val="21"/>
                <w:szCs w:val="21"/>
                <w:lang w:eastAsia="ru-RU"/>
              </w:rPr>
              <w:br/>
              <w:t>Доведение числа занятых с высшим (профессиональным) техническим образованием до 60 процентов</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Доведение числа занятых в возрасте моложе 40 лет до</w:t>
            </w:r>
            <w:r w:rsidRPr="005E4CD6">
              <w:rPr>
                <w:rFonts w:ascii="Times New Roman" w:eastAsia="Times New Roman" w:hAnsi="Times New Roman" w:cs="Times New Roman"/>
                <w:color w:val="2D2D2D"/>
                <w:sz w:val="21"/>
                <w:szCs w:val="21"/>
                <w:lang w:eastAsia="ru-RU"/>
              </w:rPr>
              <w:br/>
              <w:t>40-50 процентов.</w:t>
            </w:r>
            <w:r w:rsidRPr="005E4CD6">
              <w:rPr>
                <w:rFonts w:ascii="Times New Roman" w:eastAsia="Times New Roman" w:hAnsi="Times New Roman" w:cs="Times New Roman"/>
                <w:color w:val="2D2D2D"/>
                <w:sz w:val="21"/>
                <w:szCs w:val="21"/>
                <w:lang w:eastAsia="ru-RU"/>
              </w:rPr>
              <w:br/>
              <w:t>Доведение числа занятых с высшим (профессиональным) техническим образованием до 70 - 80 процентов</w:t>
            </w:r>
            <w:r w:rsidRPr="005E4CD6">
              <w:rPr>
                <w:rFonts w:ascii="Times New Roman" w:eastAsia="Times New Roman" w:hAnsi="Times New Roman" w:cs="Times New Roman"/>
                <w:color w:val="2D2D2D"/>
                <w:sz w:val="21"/>
                <w:szCs w:val="21"/>
                <w:lang w:eastAsia="ru-RU"/>
              </w:rPr>
              <w:br/>
              <w:t>Рост мобильности персонала</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r>
            <w:r w:rsidRPr="005E4CD6">
              <w:rPr>
                <w:rFonts w:ascii="Times New Roman" w:eastAsia="Times New Roman" w:hAnsi="Times New Roman" w:cs="Times New Roman"/>
                <w:b/>
                <w:bCs/>
                <w:color w:val="2D2D2D"/>
                <w:sz w:val="21"/>
                <w:szCs w:val="21"/>
                <w:lang w:eastAsia="ru-RU"/>
              </w:rPr>
              <w:t>Внешняя энергетическая политика</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18. Отражение национальных интересов России в рамках формируемой системы функционирования мировых энергетических рынков</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Разработка концепции и программы перестройки энергетических рынков в направлении отражения фундаментальных факторов соотношения спроса и предложения и снижения роли краткосрочных факторов и спекулятивного поведения.</w:t>
            </w:r>
            <w:r w:rsidRPr="005E4CD6">
              <w:rPr>
                <w:rFonts w:ascii="Times New Roman" w:eastAsia="Times New Roman" w:hAnsi="Times New Roman" w:cs="Times New Roman"/>
                <w:color w:val="2D2D2D"/>
                <w:sz w:val="21"/>
                <w:szCs w:val="21"/>
                <w:lang w:eastAsia="ru-RU"/>
              </w:rPr>
              <w:br/>
              <w:t>Формирование инициативных предложений по корректировке действующих и разработке новых международных юридических документов в сфере энергетики, включая развитие международно признанных правил транзита и создание механизма страхования транзитных рисков.</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Разработка и согласование документов о правилах функционирования энергетических рынков (в формате соответствующих международных организаций), правил доступа энергетических компаний к инфраструктуре и видам деятельности на мировых рынках (как на двусторонней, так и на многосторонней основе)</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Унификация и гармонизация базовых нормативно-правовых принципов национального законодательства и международного права,</w:t>
            </w:r>
            <w:r w:rsidRPr="005E4CD6">
              <w:rPr>
                <w:rFonts w:ascii="Times New Roman" w:eastAsia="Times New Roman" w:hAnsi="Times New Roman" w:cs="Times New Roman"/>
                <w:color w:val="2D2D2D"/>
                <w:sz w:val="21"/>
                <w:szCs w:val="21"/>
                <w:lang w:eastAsia="ru-RU"/>
              </w:rPr>
              <w:br/>
              <w:t>регулирующих сотрудничество на мировом энергетическом рынке.</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Решение проблем урегулирования правового статуса в спорных регионах, в том числе в Арктике, Каспийском и Южно-Китайском морях и других.</w:t>
            </w:r>
            <w:r w:rsidRPr="005E4CD6">
              <w:rPr>
                <w:rFonts w:ascii="Times New Roman" w:eastAsia="Times New Roman" w:hAnsi="Times New Roman" w:cs="Times New Roman"/>
                <w:color w:val="2D2D2D"/>
                <w:sz w:val="21"/>
                <w:szCs w:val="21"/>
                <w:lang w:eastAsia="ru-RU"/>
              </w:rPr>
              <w:br/>
              <w:t xml:space="preserve">Осуществление комплексного </w:t>
            </w:r>
            <w:r w:rsidRPr="005E4CD6">
              <w:rPr>
                <w:rFonts w:ascii="Times New Roman" w:eastAsia="Times New Roman" w:hAnsi="Times New Roman" w:cs="Times New Roman"/>
                <w:color w:val="2D2D2D"/>
                <w:sz w:val="21"/>
                <w:szCs w:val="21"/>
                <w:lang w:eastAsia="ru-RU"/>
              </w:rPr>
              <w:lastRenderedPageBreak/>
              <w:t>мониторинга международного энергетического сотрудничества.</w:t>
            </w:r>
            <w:r w:rsidRPr="005E4CD6">
              <w:rPr>
                <w:rFonts w:ascii="Times New Roman" w:eastAsia="Times New Roman" w:hAnsi="Times New Roman" w:cs="Times New Roman"/>
                <w:color w:val="2D2D2D"/>
                <w:sz w:val="21"/>
                <w:szCs w:val="21"/>
                <w:lang w:eastAsia="ru-RU"/>
              </w:rPr>
              <w:br/>
              <w:t>Преодоление негативных последствий мирового экономического кризиса и снижение рисков</w:t>
            </w:r>
            <w:r w:rsidRPr="005E4CD6">
              <w:rPr>
                <w:rFonts w:ascii="Times New Roman" w:eastAsia="Times New Roman" w:hAnsi="Times New Roman" w:cs="Times New Roman"/>
                <w:color w:val="2D2D2D"/>
                <w:sz w:val="21"/>
                <w:szCs w:val="21"/>
                <w:lang w:eastAsia="ru-RU"/>
              </w:rPr>
              <w:br/>
              <w:t>на рынке энергоносителей.</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Формирование рамочной системы правового регулирования отношений в сфере энергетики, направленной на повышение устойчивости мировых энергетических рынков</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 xml:space="preserve">Создание действующей системы правовых инструментов, обеспечивающих баланс интересов стран-экспортеров, импортеров и </w:t>
            </w:r>
            <w:r w:rsidRPr="005E4CD6">
              <w:rPr>
                <w:rFonts w:ascii="Times New Roman" w:eastAsia="Times New Roman" w:hAnsi="Times New Roman" w:cs="Times New Roman"/>
                <w:color w:val="2D2D2D"/>
                <w:sz w:val="21"/>
                <w:szCs w:val="21"/>
                <w:lang w:eastAsia="ru-RU"/>
              </w:rPr>
              <w:lastRenderedPageBreak/>
              <w:t>транзитеров топливно-энергетических ресурсов</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br/>
              <w:t>19. Диверсификация экспортных энергетических рынков</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Оценка перспективных направлений диверсификации экспортных энергетических рынков</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Рационализация размещения производства топливно-энергетических ресурсов на территории Российской Федерации с учетом региональных экспортных рынков и расширения участия России в региональных энергетических альянсах</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Участие России в формировании глобальной энергетической инфраструктуры, включая расширение инфраструктуры для поставок топливно-энергетических ресурсов на новые рынки и увеличение доли инфраструктуры, не привязанной к определенным маршрутам поставок (порты, супертанкеры, поставки сжиженного природного газа и другие)</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Доведение доли стран Азиатско-Тихоокеанского региона в структуре российского экспорта топливно-энергетических ресурсов до 16-17 процентов.</w:t>
            </w:r>
            <w:r w:rsidRPr="005E4CD6">
              <w:rPr>
                <w:rFonts w:ascii="Times New Roman" w:eastAsia="Times New Roman" w:hAnsi="Times New Roman" w:cs="Times New Roman"/>
                <w:color w:val="2D2D2D"/>
                <w:sz w:val="21"/>
                <w:szCs w:val="21"/>
                <w:lang w:eastAsia="ru-RU"/>
              </w:rPr>
              <w:br/>
              <w:t>Увеличение объемов российского экспорта газа в страны Европы</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Доведение доли стран Азиатско-Тихоокеанского региона в структуре российского экспорта топливно-энергетических ресурсов</w:t>
            </w:r>
            <w:r w:rsidRPr="005E4CD6">
              <w:rPr>
                <w:rFonts w:ascii="Times New Roman" w:eastAsia="Times New Roman" w:hAnsi="Times New Roman" w:cs="Times New Roman"/>
                <w:color w:val="2D2D2D"/>
                <w:sz w:val="21"/>
                <w:szCs w:val="21"/>
                <w:lang w:eastAsia="ru-RU"/>
              </w:rPr>
              <w:br/>
              <w:t>до 21-22 процентов.</w:t>
            </w:r>
            <w:r w:rsidRPr="005E4CD6">
              <w:rPr>
                <w:rFonts w:ascii="Times New Roman" w:eastAsia="Times New Roman" w:hAnsi="Times New Roman" w:cs="Times New Roman"/>
                <w:color w:val="2D2D2D"/>
                <w:sz w:val="21"/>
                <w:szCs w:val="21"/>
                <w:lang w:eastAsia="ru-RU"/>
              </w:rPr>
              <w:br/>
              <w:t>Сохранение объемов российского экспорта топливно-энергетических ресурсов в Европу</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Доведение доли стран Азиатско-Тихоокеанского региона в структуре российского экспорта топливно-энергетических ресурсов до 26-27 процентов.</w:t>
            </w:r>
            <w:r w:rsidRPr="005E4CD6">
              <w:rPr>
                <w:rFonts w:ascii="Times New Roman" w:eastAsia="Times New Roman" w:hAnsi="Times New Roman" w:cs="Times New Roman"/>
                <w:color w:val="2D2D2D"/>
                <w:sz w:val="21"/>
                <w:szCs w:val="21"/>
                <w:lang w:eastAsia="ru-RU"/>
              </w:rPr>
              <w:br/>
              <w:t>Сохранение объемов российского экспорта топливно-энергетических ресурсов в Европу</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20. Диверсификация товарной структуры экспорта, повышение объема вывоза продукции с более высокой долей добавленной стоимости</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Мониторинг мировых энергетических рынков и регулярная оценка перспективного спроса на российские энергоресурсы высокой степени переработки</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 xml:space="preserve">Стимулирование развития новых технологических возможностей для диверсификации структуры экспорта, включая повышение эффективности процессов преобразования газа в </w:t>
            </w:r>
            <w:r w:rsidRPr="005E4CD6">
              <w:rPr>
                <w:rFonts w:ascii="Times New Roman" w:eastAsia="Times New Roman" w:hAnsi="Times New Roman" w:cs="Times New Roman"/>
                <w:color w:val="2D2D2D"/>
                <w:sz w:val="21"/>
                <w:szCs w:val="21"/>
                <w:lang w:eastAsia="ru-RU"/>
              </w:rPr>
              <w:lastRenderedPageBreak/>
              <w:t>моторное топливо, транспортировку газа в виде сжатого газа, газогидратов и другие</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Государственная поддержка повышения доли энергоресурсов высокой степени переработки (добавленной стоимости) в общей структуре экспорта российских топливно-</w:t>
            </w:r>
            <w:r w:rsidRPr="005E4CD6">
              <w:rPr>
                <w:rFonts w:ascii="Times New Roman" w:eastAsia="Times New Roman" w:hAnsi="Times New Roman" w:cs="Times New Roman"/>
                <w:color w:val="2D2D2D"/>
                <w:sz w:val="21"/>
                <w:szCs w:val="21"/>
                <w:lang w:eastAsia="ru-RU"/>
              </w:rPr>
              <w:lastRenderedPageBreak/>
              <w:t>энергетических ресурсов (рациональные таможенные пошлины, государственные гарантии, страхование рисков и другие)</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Доведение доли сжиженного природного газа в экспорте газа до 6-7 процентов.</w:t>
            </w:r>
            <w:r w:rsidRPr="005E4CD6">
              <w:rPr>
                <w:rFonts w:ascii="Times New Roman" w:eastAsia="Times New Roman" w:hAnsi="Times New Roman" w:cs="Times New Roman"/>
                <w:color w:val="2D2D2D"/>
                <w:sz w:val="21"/>
                <w:szCs w:val="21"/>
                <w:lang w:eastAsia="ru-RU"/>
              </w:rPr>
              <w:br/>
              <w:t>Доведение доли первичных топливно-энергетических ресурсов в экспорте продукции топливно-энергетического комплекса до уровня не более 85 процентов</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Доведение доли сжиженного природного газа в экспорте газа до 10-11 процентов.</w:t>
            </w:r>
            <w:r w:rsidRPr="005E4CD6">
              <w:rPr>
                <w:rFonts w:ascii="Times New Roman" w:eastAsia="Times New Roman" w:hAnsi="Times New Roman" w:cs="Times New Roman"/>
                <w:color w:val="2D2D2D"/>
                <w:sz w:val="21"/>
                <w:szCs w:val="21"/>
                <w:lang w:eastAsia="ru-RU"/>
              </w:rPr>
              <w:br/>
              <w:t>Доведение доли первичных топливно-энергетических ресурсов в экспорте продукции топливно-энергетического комплекса до уровня не более 80 процентов</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Доведение доли сжиженного природного газа в экспорте газа до 14-15 процентов.</w:t>
            </w:r>
            <w:r w:rsidRPr="005E4CD6">
              <w:rPr>
                <w:rFonts w:ascii="Times New Roman" w:eastAsia="Times New Roman" w:hAnsi="Times New Roman" w:cs="Times New Roman"/>
                <w:color w:val="2D2D2D"/>
                <w:sz w:val="21"/>
                <w:szCs w:val="21"/>
                <w:lang w:eastAsia="ru-RU"/>
              </w:rPr>
              <w:br/>
              <w:t>Доведение доли первичных топливно-энергетических ресурсов в экспорте продукции топливно-энергетического комплекса до уровня не более 70 процентов</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21. Обеспечение стабильных условий на экспортных рынках, включая гарантированность спроса и обоснованность цен на основные продукты российского экспорта энергоресурсов</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Развитие системы долгосрочных контрактов на поставку российских топливно-энергетических ресурсов и ограничение спекулятивной активности на энергетических рынках.</w:t>
            </w:r>
            <w:r w:rsidRPr="005E4CD6">
              <w:rPr>
                <w:rFonts w:ascii="Times New Roman" w:eastAsia="Times New Roman" w:hAnsi="Times New Roman" w:cs="Times New Roman"/>
                <w:color w:val="2D2D2D"/>
                <w:sz w:val="21"/>
                <w:szCs w:val="21"/>
                <w:lang w:eastAsia="ru-RU"/>
              </w:rPr>
              <w:br/>
              <w:t>Увеличение долевого участия российских компаний в действующей инфраструктуре транзита и доставки российских энергоносителей и строительстве эффективной альтернативной инфраструктуры</w:t>
            </w:r>
            <w:r w:rsidRPr="005E4CD6">
              <w:rPr>
                <w:rFonts w:ascii="Times New Roman" w:eastAsia="Times New Roman" w:hAnsi="Times New Roman" w:cs="Times New Roman"/>
                <w:color w:val="2D2D2D"/>
                <w:sz w:val="21"/>
                <w:szCs w:val="21"/>
                <w:lang w:eastAsia="ru-RU"/>
              </w:rPr>
              <w:br/>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Диверсификация структуры производства энергоресурсов, активное участие российской стороны в технологических разработках и обмене информацией о прогрессе в ключевых технологических разработках</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Создание эффективной международной системы экспертного анализа и прогнозирования важнейших процессов на энергетических рынках, обеспечивающей повышение устойчивости и объективности соответствующих оценок</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Создание российской системы мониторинга и анализа мировых процессов в энергетике и критических угроз на пути обеспечения стабильных условий на экспортных рынках российских энергоресурсов.</w:t>
            </w:r>
            <w:r w:rsidRPr="005E4CD6">
              <w:rPr>
                <w:rFonts w:ascii="Times New Roman" w:eastAsia="Times New Roman" w:hAnsi="Times New Roman" w:cs="Times New Roman"/>
                <w:color w:val="2D2D2D"/>
                <w:sz w:val="21"/>
                <w:szCs w:val="21"/>
                <w:lang w:eastAsia="ru-RU"/>
              </w:rPr>
              <w:br/>
              <w:t xml:space="preserve">Заключение многосторонних и двусторонних межправительственных соглашений по транзиту топливно-энергетических ресурсов, унификации </w:t>
            </w:r>
            <w:r w:rsidRPr="005E4CD6">
              <w:rPr>
                <w:rFonts w:ascii="Times New Roman" w:eastAsia="Times New Roman" w:hAnsi="Times New Roman" w:cs="Times New Roman"/>
                <w:color w:val="2D2D2D"/>
                <w:sz w:val="21"/>
                <w:szCs w:val="21"/>
                <w:lang w:eastAsia="ru-RU"/>
              </w:rPr>
              <w:lastRenderedPageBreak/>
              <w:t>технических условий работы энергосистем, техническому регулированию в энергетике.</w:t>
            </w:r>
            <w:r w:rsidRPr="005E4CD6">
              <w:rPr>
                <w:rFonts w:ascii="Times New Roman" w:eastAsia="Times New Roman" w:hAnsi="Times New Roman" w:cs="Times New Roman"/>
                <w:color w:val="2D2D2D"/>
                <w:sz w:val="21"/>
                <w:szCs w:val="21"/>
                <w:lang w:eastAsia="ru-RU"/>
              </w:rPr>
              <w:br/>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Расширение числа биржевых площадок, стимулирование развития международной биржевой торговли нефтью и нефтепродуктами с расчетами в валюте Российской Федерации.</w:t>
            </w:r>
            <w:r w:rsidRPr="005E4CD6">
              <w:rPr>
                <w:rFonts w:ascii="Times New Roman" w:eastAsia="Times New Roman" w:hAnsi="Times New Roman" w:cs="Times New Roman"/>
                <w:color w:val="2D2D2D"/>
                <w:sz w:val="21"/>
                <w:szCs w:val="21"/>
                <w:lang w:eastAsia="ru-RU"/>
              </w:rPr>
              <w:br/>
              <w:t>Формирование национальных ценовых индикаторов российских сортов нефти и нефтепродуктов.</w:t>
            </w:r>
            <w:r w:rsidRPr="005E4CD6">
              <w:rPr>
                <w:rFonts w:ascii="Times New Roman" w:eastAsia="Times New Roman" w:hAnsi="Times New Roman" w:cs="Times New Roman"/>
                <w:color w:val="2D2D2D"/>
                <w:sz w:val="21"/>
                <w:szCs w:val="21"/>
                <w:lang w:eastAsia="ru-RU"/>
              </w:rPr>
              <w:br/>
              <w:t>Создание государственного нефтяного резерва</w:t>
            </w:r>
            <w:r w:rsidRPr="005E4CD6">
              <w:rPr>
                <w:rFonts w:ascii="Times New Roman" w:eastAsia="Times New Roman" w:hAnsi="Times New Roman" w:cs="Times New Roman"/>
                <w:color w:val="2D2D2D"/>
                <w:sz w:val="21"/>
                <w:szCs w:val="21"/>
                <w:lang w:eastAsia="ru-RU"/>
              </w:rPr>
              <w:br/>
              <w:t>Российской Федерации</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sz w:val="20"/>
                <w:szCs w:val="20"/>
                <w:lang w:eastAsia="ru-RU"/>
              </w:rPr>
            </w:pP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Снижение рисков транзита и транспортировки российских энергоносителей на экспортные рынки.</w:t>
            </w:r>
            <w:r w:rsidRPr="005E4CD6">
              <w:rPr>
                <w:rFonts w:ascii="Times New Roman" w:eastAsia="Times New Roman" w:hAnsi="Times New Roman" w:cs="Times New Roman"/>
                <w:color w:val="2D2D2D"/>
                <w:sz w:val="21"/>
                <w:szCs w:val="21"/>
                <w:lang w:eastAsia="ru-RU"/>
              </w:rPr>
              <w:br/>
              <w:t>Устойчивый долгосрочный спрос на российские энергоресурсы на экспортных рынках.</w:t>
            </w:r>
            <w:r w:rsidRPr="005E4CD6">
              <w:rPr>
                <w:rFonts w:ascii="Times New Roman" w:eastAsia="Times New Roman" w:hAnsi="Times New Roman" w:cs="Times New Roman"/>
                <w:color w:val="2D2D2D"/>
                <w:sz w:val="21"/>
                <w:szCs w:val="21"/>
                <w:lang w:eastAsia="ru-RU"/>
              </w:rPr>
              <w:br/>
              <w:t>Создание системы мониторинга темпов развития и диверсификации производства топливно-энергетических ресурсов</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Стабильные и благоприятные условия для экспорта продукции российского топливно-энергетического комплекса</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22. Укрепление позиций ведущих российских энергетических компаний за рубежом</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Развитие взаимовыгодного обмена энергетическими активами и иных форм международного сотрудничества со странами - потребителями российских энергоресурсов.</w:t>
            </w:r>
            <w:r w:rsidRPr="005E4CD6">
              <w:rPr>
                <w:rFonts w:ascii="Times New Roman" w:eastAsia="Times New Roman" w:hAnsi="Times New Roman" w:cs="Times New Roman"/>
                <w:color w:val="2D2D2D"/>
                <w:sz w:val="21"/>
                <w:szCs w:val="21"/>
                <w:lang w:eastAsia="ru-RU"/>
              </w:rPr>
              <w:br/>
              <w:t>Заключение межправительственных соглашений о сотрудничестве с учетом продвижения интересов российских энергетических компаний.</w:t>
            </w:r>
            <w:r w:rsidRPr="005E4CD6">
              <w:rPr>
                <w:rFonts w:ascii="Times New Roman" w:eastAsia="Times New Roman" w:hAnsi="Times New Roman" w:cs="Times New Roman"/>
                <w:color w:val="2D2D2D"/>
                <w:sz w:val="21"/>
                <w:szCs w:val="21"/>
                <w:lang w:eastAsia="ru-RU"/>
              </w:rPr>
              <w:br/>
              <w:t xml:space="preserve">Овладение передовым менеджментом и управлением сложными энергетическими </w:t>
            </w:r>
            <w:r w:rsidRPr="005E4CD6">
              <w:rPr>
                <w:rFonts w:ascii="Times New Roman" w:eastAsia="Times New Roman" w:hAnsi="Times New Roman" w:cs="Times New Roman"/>
                <w:color w:val="2D2D2D"/>
                <w:sz w:val="21"/>
                <w:szCs w:val="21"/>
                <w:lang w:eastAsia="ru-RU"/>
              </w:rPr>
              <w:lastRenderedPageBreak/>
              <w:t>проектами, новыми передовыми энергетическими технологиями, в том числе при совместной разработке и внедрении в России экологически безопасных технологий и оборудования</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Разработка и реализация скоординированных с другими внешнеэкономическими направлениями программ действий по усилению позиций России в региональном энергетическом сотрудничестве (страны Европейского Союза, Азиатско-Тихоокеанского региона, Ближний Восток, Африка, Центральная и Юго-Восточная Азия, Латинская Америка, Китай).</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Создание глобальных производственно-технологических цепочек в поставках энергоресурсов с участием российских компаний и компаний стран - потребителей российских энергоресурсов.</w:t>
            </w:r>
            <w:r w:rsidRPr="005E4CD6">
              <w:rPr>
                <w:rFonts w:ascii="Times New Roman" w:eastAsia="Times New Roman" w:hAnsi="Times New Roman" w:cs="Times New Roman"/>
                <w:color w:val="2D2D2D"/>
                <w:sz w:val="21"/>
                <w:szCs w:val="21"/>
                <w:lang w:eastAsia="ru-RU"/>
              </w:rPr>
              <w:br/>
              <w:t>Углубление разделения труда и повышение эффективности производства и экспорта топливно-энергетических ресурсов и энергетических технологий</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Проведение гибкой политики взаимодействия с транснациональными корпорациями, активное взаимодействие российских компаний с новыми национальными корпорациями и другими игроками на международном рынке (сервисными, финансовыми компаниями).</w:t>
            </w:r>
            <w:r w:rsidRPr="005E4CD6">
              <w:rPr>
                <w:rFonts w:ascii="Times New Roman" w:eastAsia="Times New Roman" w:hAnsi="Times New Roman" w:cs="Times New Roman"/>
                <w:color w:val="2D2D2D"/>
                <w:sz w:val="21"/>
                <w:szCs w:val="21"/>
                <w:lang w:eastAsia="ru-RU"/>
              </w:rPr>
              <w:br/>
              <w:t>Укрепление позиций российской атомной энергетики на мировых рынках атомной электрогенерации, реакторостроения, фабрикации топлива, добычи природного урана, конверсии, обогащения</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Стабильное присутствие одной российской компании энергетического сектора в первой тройке ведущих мировых энергетических компаний и в первой пятерке мировых компаний в целом и двух российских компаний в первой десятке обоих рейтингов</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Информационная, политическая и экономическая поддержка деятельности российских энергетических компаний за рубежом</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Информационная, политическая и экономическая поддержка деятельности российских энергетических компаний за рубежом</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Информационная, политическая и экономическая поддержка деятельности российских энергетических компаний за рубежом</w:t>
            </w:r>
          </w:p>
        </w:tc>
      </w:tr>
      <w:tr w:rsidR="005E4CD6" w:rsidRPr="005E4CD6" w:rsidTr="005E4CD6">
        <w:tc>
          <w:tcPr>
            <w:tcW w:w="15523" w:type="dxa"/>
            <w:gridSpan w:val="3"/>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br/>
              <w:t>23. Обеспечение эффективной международной кооперации по рисковым и сложным проектам в России (в том числе по шельфовым проектам в арктических условиях)</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Создание благоприятных, стабильных, прозрачных и взаимовыгодных условий для привлечения иностранных инвестиций и компетентных иностранных партнеров в режиме международной кооперации</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Стимулирование роста конкурентоспособности российских компаний в указанной сфере реализации сложных энергетических проектов</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 xml:space="preserve">Доведение доли прямых зарубежных инвестиций в общей структуре инвестиций в топливно-энергетическом </w:t>
            </w:r>
            <w:r w:rsidRPr="005E4CD6">
              <w:rPr>
                <w:rFonts w:ascii="Times New Roman" w:eastAsia="Times New Roman" w:hAnsi="Times New Roman" w:cs="Times New Roman"/>
                <w:color w:val="2D2D2D"/>
                <w:sz w:val="21"/>
                <w:szCs w:val="21"/>
                <w:lang w:eastAsia="ru-RU"/>
              </w:rPr>
              <w:lastRenderedPageBreak/>
              <w:t>комплексе до уровня не менее 5 процентов</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 xml:space="preserve">Доведение доли прямых зарубежных инвестиций в общей структуре инвестиций в топливно-энергетическом </w:t>
            </w:r>
            <w:r w:rsidRPr="005E4CD6">
              <w:rPr>
                <w:rFonts w:ascii="Times New Roman" w:eastAsia="Times New Roman" w:hAnsi="Times New Roman" w:cs="Times New Roman"/>
                <w:color w:val="2D2D2D"/>
                <w:sz w:val="21"/>
                <w:szCs w:val="21"/>
                <w:lang w:eastAsia="ru-RU"/>
              </w:rPr>
              <w:lastRenderedPageBreak/>
              <w:t>комплексе до уровня не менее 8 процентов</w:t>
            </w: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 xml:space="preserve">Доведение доли прямых зарубежных инвестиций в общей структуре инвестиций в топливно-энергетическом комплексе </w:t>
            </w:r>
            <w:r w:rsidRPr="005E4CD6">
              <w:rPr>
                <w:rFonts w:ascii="Times New Roman" w:eastAsia="Times New Roman" w:hAnsi="Times New Roman" w:cs="Times New Roman"/>
                <w:color w:val="2D2D2D"/>
                <w:sz w:val="21"/>
                <w:szCs w:val="21"/>
                <w:lang w:eastAsia="ru-RU"/>
              </w:rPr>
              <w:lastRenderedPageBreak/>
              <w:t>до уровня не менее 12 процентов</w:t>
            </w:r>
          </w:p>
        </w:tc>
      </w:tr>
      <w:tr w:rsidR="005E4CD6" w:rsidRPr="005E4CD6" w:rsidTr="005E4CD6">
        <w:tc>
          <w:tcPr>
            <w:tcW w:w="5914"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lastRenderedPageBreak/>
              <w:t>Достижение рациональных объемов добычи и воспроизводства запасов нефти и газа на континентальном шельфе и в других особо сложных условиях</w:t>
            </w:r>
          </w:p>
        </w:tc>
        <w:tc>
          <w:tcPr>
            <w:tcW w:w="499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nil"/>
              <w:bottom w:val="nil"/>
              <w:right w:val="nil"/>
            </w:tcBorders>
            <w:tcMar>
              <w:top w:w="0" w:type="dxa"/>
              <w:left w:w="149" w:type="dxa"/>
              <w:bottom w:w="0" w:type="dxa"/>
              <w:right w:w="149" w:type="dxa"/>
            </w:tcMar>
            <w:hideMark/>
          </w:tcPr>
          <w:p w:rsidR="005E4CD6" w:rsidRPr="005E4CD6" w:rsidRDefault="005E4CD6" w:rsidP="005E4CD6">
            <w:pPr>
              <w:spacing w:after="0" w:line="315" w:lineRule="atLeast"/>
              <w:textAlignment w:val="baseline"/>
              <w:rPr>
                <w:rFonts w:ascii="Times New Roman" w:eastAsia="Times New Roman" w:hAnsi="Times New Roman" w:cs="Times New Roman"/>
                <w:color w:val="2D2D2D"/>
                <w:sz w:val="21"/>
                <w:szCs w:val="21"/>
                <w:lang w:eastAsia="ru-RU"/>
              </w:rPr>
            </w:pPr>
            <w:r w:rsidRPr="005E4CD6">
              <w:rPr>
                <w:rFonts w:ascii="Times New Roman" w:eastAsia="Times New Roman" w:hAnsi="Times New Roman" w:cs="Times New Roman"/>
                <w:color w:val="2D2D2D"/>
                <w:sz w:val="21"/>
                <w:szCs w:val="21"/>
                <w:lang w:eastAsia="ru-RU"/>
              </w:rPr>
              <w:t>Масштабное участие российских компаний в реализации зарубежных проектов</w:t>
            </w:r>
          </w:p>
        </w:tc>
      </w:tr>
    </w:tbl>
    <w:p w:rsidR="005E4CD6" w:rsidRPr="005E4CD6" w:rsidRDefault="005E4CD6" w:rsidP="005E4C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5E4CD6">
        <w:rPr>
          <w:rFonts w:ascii="Arial" w:eastAsia="Times New Roman" w:hAnsi="Arial" w:cs="Arial"/>
          <w:color w:val="2D2D2D"/>
          <w:spacing w:val="2"/>
          <w:sz w:val="21"/>
          <w:szCs w:val="21"/>
          <w:lang w:eastAsia="ru-RU"/>
        </w:rPr>
        <w:br/>
      </w:r>
    </w:p>
    <w:p w:rsidR="00CF2EEE" w:rsidRDefault="005E4CD6">
      <w:bookmarkStart w:id="0" w:name="_GoBack"/>
      <w:bookmarkEnd w:id="0"/>
    </w:p>
    <w:sectPr w:rsidR="00CF2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D6"/>
    <w:rsid w:val="005E4CD6"/>
    <w:rsid w:val="00DF302F"/>
    <w:rsid w:val="00DF7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DFE19-87E8-4DD8-8BC9-9B6AB347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E4C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4C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4C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E4C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E4CD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4C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4C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4C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E4CD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E4CD6"/>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5E4CD6"/>
  </w:style>
  <w:style w:type="paragraph" w:customStyle="1" w:styleId="msonormal0">
    <w:name w:val="msonormal"/>
    <w:basedOn w:val="a"/>
    <w:rsid w:val="005E4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E4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E4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E4CD6"/>
    <w:rPr>
      <w:color w:val="0000FF"/>
      <w:u w:val="single"/>
    </w:rPr>
  </w:style>
  <w:style w:type="character" w:styleId="a4">
    <w:name w:val="FollowedHyperlink"/>
    <w:basedOn w:val="a0"/>
    <w:uiPriority w:val="99"/>
    <w:semiHidden/>
    <w:unhideWhenUsed/>
    <w:rsid w:val="005E4CD6"/>
    <w:rPr>
      <w:color w:val="800080"/>
      <w:u w:val="single"/>
    </w:rPr>
  </w:style>
  <w:style w:type="paragraph" w:styleId="a5">
    <w:name w:val="Normal (Web)"/>
    <w:basedOn w:val="a"/>
    <w:uiPriority w:val="99"/>
    <w:semiHidden/>
    <w:unhideWhenUsed/>
    <w:rsid w:val="005E4C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04217">
      <w:bodyDiv w:val="1"/>
      <w:marLeft w:val="0"/>
      <w:marRight w:val="0"/>
      <w:marTop w:val="0"/>
      <w:marBottom w:val="0"/>
      <w:divBdr>
        <w:top w:val="none" w:sz="0" w:space="0" w:color="auto"/>
        <w:left w:val="none" w:sz="0" w:space="0" w:color="auto"/>
        <w:bottom w:val="none" w:sz="0" w:space="0" w:color="auto"/>
        <w:right w:val="none" w:sz="0" w:space="0" w:color="auto"/>
      </w:divBdr>
      <w:divsChild>
        <w:div w:id="2026245465">
          <w:marLeft w:val="0"/>
          <w:marRight w:val="0"/>
          <w:marTop w:val="0"/>
          <w:marBottom w:val="0"/>
          <w:divBdr>
            <w:top w:val="none" w:sz="0" w:space="0" w:color="auto"/>
            <w:left w:val="none" w:sz="0" w:space="0" w:color="auto"/>
            <w:bottom w:val="none" w:sz="0" w:space="0" w:color="auto"/>
            <w:right w:val="none" w:sz="0" w:space="0" w:color="auto"/>
          </w:divBdr>
          <w:divsChild>
            <w:div w:id="556086010">
              <w:marLeft w:val="0"/>
              <w:marRight w:val="0"/>
              <w:marTop w:val="0"/>
              <w:marBottom w:val="0"/>
              <w:divBdr>
                <w:top w:val="inset" w:sz="2" w:space="0" w:color="auto"/>
                <w:left w:val="inset" w:sz="2" w:space="1" w:color="auto"/>
                <w:bottom w:val="inset" w:sz="2" w:space="0" w:color="auto"/>
                <w:right w:val="inset" w:sz="2" w:space="1" w:color="auto"/>
              </w:divBdr>
            </w:div>
            <w:div w:id="15736074">
              <w:marLeft w:val="0"/>
              <w:marRight w:val="0"/>
              <w:marTop w:val="0"/>
              <w:marBottom w:val="0"/>
              <w:divBdr>
                <w:top w:val="inset" w:sz="2" w:space="0" w:color="auto"/>
                <w:left w:val="inset" w:sz="2" w:space="1" w:color="auto"/>
                <w:bottom w:val="inset" w:sz="2" w:space="0" w:color="auto"/>
                <w:right w:val="inset" w:sz="2" w:space="1" w:color="auto"/>
              </w:divBdr>
            </w:div>
            <w:div w:id="493030487">
              <w:marLeft w:val="0"/>
              <w:marRight w:val="0"/>
              <w:marTop w:val="0"/>
              <w:marBottom w:val="0"/>
              <w:divBdr>
                <w:top w:val="inset" w:sz="2" w:space="0" w:color="auto"/>
                <w:left w:val="inset" w:sz="2" w:space="1" w:color="auto"/>
                <w:bottom w:val="inset" w:sz="2" w:space="0" w:color="auto"/>
                <w:right w:val="inset" w:sz="2" w:space="1" w:color="auto"/>
              </w:divBdr>
            </w:div>
            <w:div w:id="1570722789">
              <w:marLeft w:val="0"/>
              <w:marRight w:val="0"/>
              <w:marTop w:val="0"/>
              <w:marBottom w:val="0"/>
              <w:divBdr>
                <w:top w:val="inset" w:sz="2" w:space="0" w:color="auto"/>
                <w:left w:val="inset" w:sz="2" w:space="1" w:color="auto"/>
                <w:bottom w:val="inset" w:sz="2" w:space="0" w:color="auto"/>
                <w:right w:val="inset" w:sz="2" w:space="1" w:color="auto"/>
              </w:divBdr>
            </w:div>
            <w:div w:id="1177769129">
              <w:marLeft w:val="0"/>
              <w:marRight w:val="0"/>
              <w:marTop w:val="0"/>
              <w:marBottom w:val="0"/>
              <w:divBdr>
                <w:top w:val="inset" w:sz="2" w:space="0" w:color="auto"/>
                <w:left w:val="inset" w:sz="2" w:space="1" w:color="auto"/>
                <w:bottom w:val="inset" w:sz="2" w:space="0" w:color="auto"/>
                <w:right w:val="inset" w:sz="2" w:space="1" w:color="auto"/>
              </w:divBdr>
            </w:div>
            <w:div w:id="1773354404">
              <w:marLeft w:val="0"/>
              <w:marRight w:val="0"/>
              <w:marTop w:val="0"/>
              <w:marBottom w:val="0"/>
              <w:divBdr>
                <w:top w:val="inset" w:sz="2" w:space="0" w:color="auto"/>
                <w:left w:val="inset" w:sz="2" w:space="1" w:color="auto"/>
                <w:bottom w:val="inset" w:sz="2" w:space="0" w:color="auto"/>
                <w:right w:val="inset" w:sz="2" w:space="1" w:color="auto"/>
              </w:divBdr>
            </w:div>
            <w:div w:id="2018070018">
              <w:marLeft w:val="0"/>
              <w:marRight w:val="0"/>
              <w:marTop w:val="0"/>
              <w:marBottom w:val="0"/>
              <w:divBdr>
                <w:top w:val="inset" w:sz="2" w:space="0" w:color="auto"/>
                <w:left w:val="inset" w:sz="2" w:space="1" w:color="auto"/>
                <w:bottom w:val="inset" w:sz="2" w:space="0" w:color="auto"/>
                <w:right w:val="inset" w:sz="2" w:space="1" w:color="auto"/>
              </w:divBdr>
            </w:div>
            <w:div w:id="274018134">
              <w:marLeft w:val="0"/>
              <w:marRight w:val="0"/>
              <w:marTop w:val="0"/>
              <w:marBottom w:val="0"/>
              <w:divBdr>
                <w:top w:val="inset" w:sz="2" w:space="0" w:color="auto"/>
                <w:left w:val="inset" w:sz="2" w:space="1" w:color="auto"/>
                <w:bottom w:val="inset" w:sz="2" w:space="0" w:color="auto"/>
                <w:right w:val="inset" w:sz="2" w:space="1" w:color="auto"/>
              </w:divBdr>
            </w:div>
            <w:div w:id="1478764423">
              <w:marLeft w:val="0"/>
              <w:marRight w:val="0"/>
              <w:marTop w:val="0"/>
              <w:marBottom w:val="0"/>
              <w:divBdr>
                <w:top w:val="inset" w:sz="2" w:space="0" w:color="auto"/>
                <w:left w:val="inset" w:sz="2" w:space="1" w:color="auto"/>
                <w:bottom w:val="inset" w:sz="2" w:space="0" w:color="auto"/>
                <w:right w:val="inset" w:sz="2" w:space="1" w:color="auto"/>
              </w:divBdr>
            </w:div>
            <w:div w:id="188107572">
              <w:marLeft w:val="0"/>
              <w:marRight w:val="0"/>
              <w:marTop w:val="0"/>
              <w:marBottom w:val="0"/>
              <w:divBdr>
                <w:top w:val="inset" w:sz="2" w:space="0" w:color="auto"/>
                <w:left w:val="inset" w:sz="2" w:space="1" w:color="auto"/>
                <w:bottom w:val="inset" w:sz="2" w:space="0" w:color="auto"/>
                <w:right w:val="inset" w:sz="2" w:space="1" w:color="auto"/>
              </w:divBdr>
            </w:div>
            <w:div w:id="1959339418">
              <w:marLeft w:val="0"/>
              <w:marRight w:val="0"/>
              <w:marTop w:val="0"/>
              <w:marBottom w:val="0"/>
              <w:divBdr>
                <w:top w:val="inset" w:sz="2" w:space="0" w:color="auto"/>
                <w:left w:val="inset" w:sz="2" w:space="1" w:color="auto"/>
                <w:bottom w:val="inset" w:sz="2" w:space="0" w:color="auto"/>
                <w:right w:val="inset" w:sz="2" w:space="1" w:color="auto"/>
              </w:divBdr>
            </w:div>
            <w:div w:id="1031105861">
              <w:marLeft w:val="0"/>
              <w:marRight w:val="0"/>
              <w:marTop w:val="0"/>
              <w:marBottom w:val="0"/>
              <w:divBdr>
                <w:top w:val="inset" w:sz="2" w:space="0" w:color="auto"/>
                <w:left w:val="inset" w:sz="2" w:space="1" w:color="auto"/>
                <w:bottom w:val="inset" w:sz="2" w:space="0" w:color="auto"/>
                <w:right w:val="inset" w:sz="2" w:space="1" w:color="auto"/>
              </w:divBdr>
            </w:div>
            <w:div w:id="733510809">
              <w:marLeft w:val="0"/>
              <w:marRight w:val="0"/>
              <w:marTop w:val="0"/>
              <w:marBottom w:val="0"/>
              <w:divBdr>
                <w:top w:val="inset" w:sz="2" w:space="0" w:color="auto"/>
                <w:left w:val="inset" w:sz="2" w:space="1" w:color="auto"/>
                <w:bottom w:val="inset" w:sz="2" w:space="0" w:color="auto"/>
                <w:right w:val="inset" w:sz="2" w:space="1" w:color="auto"/>
              </w:divBdr>
            </w:div>
            <w:div w:id="818695259">
              <w:marLeft w:val="0"/>
              <w:marRight w:val="0"/>
              <w:marTop w:val="0"/>
              <w:marBottom w:val="0"/>
              <w:divBdr>
                <w:top w:val="inset" w:sz="2" w:space="0" w:color="auto"/>
                <w:left w:val="inset" w:sz="2" w:space="1" w:color="auto"/>
                <w:bottom w:val="inset" w:sz="2" w:space="0" w:color="auto"/>
                <w:right w:val="inset" w:sz="2" w:space="1" w:color="auto"/>
              </w:divBdr>
            </w:div>
            <w:div w:id="1967542728">
              <w:marLeft w:val="0"/>
              <w:marRight w:val="0"/>
              <w:marTop w:val="0"/>
              <w:marBottom w:val="0"/>
              <w:divBdr>
                <w:top w:val="inset" w:sz="2" w:space="0" w:color="auto"/>
                <w:left w:val="inset" w:sz="2" w:space="1" w:color="auto"/>
                <w:bottom w:val="inset" w:sz="2" w:space="0" w:color="auto"/>
                <w:right w:val="inset" w:sz="2" w:space="1" w:color="auto"/>
              </w:divBdr>
            </w:div>
            <w:div w:id="1016493775">
              <w:marLeft w:val="0"/>
              <w:marRight w:val="0"/>
              <w:marTop w:val="0"/>
              <w:marBottom w:val="0"/>
              <w:divBdr>
                <w:top w:val="inset" w:sz="2" w:space="0" w:color="auto"/>
                <w:left w:val="inset" w:sz="2" w:space="1" w:color="auto"/>
                <w:bottom w:val="inset" w:sz="2" w:space="0" w:color="auto"/>
                <w:right w:val="inset" w:sz="2" w:space="1" w:color="auto"/>
              </w:divBdr>
            </w:div>
            <w:div w:id="2096244698">
              <w:marLeft w:val="0"/>
              <w:marRight w:val="0"/>
              <w:marTop w:val="0"/>
              <w:marBottom w:val="0"/>
              <w:divBdr>
                <w:top w:val="inset" w:sz="2" w:space="0" w:color="auto"/>
                <w:left w:val="inset" w:sz="2" w:space="1" w:color="auto"/>
                <w:bottom w:val="inset" w:sz="2" w:space="0" w:color="auto"/>
                <w:right w:val="inset" w:sz="2" w:space="1" w:color="auto"/>
              </w:divBdr>
            </w:div>
            <w:div w:id="374475334">
              <w:marLeft w:val="0"/>
              <w:marRight w:val="0"/>
              <w:marTop w:val="0"/>
              <w:marBottom w:val="0"/>
              <w:divBdr>
                <w:top w:val="inset" w:sz="2" w:space="0" w:color="auto"/>
                <w:left w:val="inset" w:sz="2" w:space="1" w:color="auto"/>
                <w:bottom w:val="inset" w:sz="2" w:space="0" w:color="auto"/>
                <w:right w:val="inset" w:sz="2" w:space="1" w:color="auto"/>
              </w:divBdr>
            </w:div>
            <w:div w:id="567886486">
              <w:marLeft w:val="0"/>
              <w:marRight w:val="0"/>
              <w:marTop w:val="0"/>
              <w:marBottom w:val="0"/>
              <w:divBdr>
                <w:top w:val="inset" w:sz="2" w:space="0" w:color="auto"/>
                <w:left w:val="inset" w:sz="2" w:space="1" w:color="auto"/>
                <w:bottom w:val="inset" w:sz="2" w:space="0" w:color="auto"/>
                <w:right w:val="inset" w:sz="2" w:space="1" w:color="auto"/>
              </w:divBdr>
            </w:div>
            <w:div w:id="45956231">
              <w:marLeft w:val="0"/>
              <w:marRight w:val="0"/>
              <w:marTop w:val="0"/>
              <w:marBottom w:val="0"/>
              <w:divBdr>
                <w:top w:val="inset" w:sz="2" w:space="0" w:color="auto"/>
                <w:left w:val="inset" w:sz="2" w:space="1" w:color="auto"/>
                <w:bottom w:val="inset" w:sz="2" w:space="0" w:color="auto"/>
                <w:right w:val="inset" w:sz="2" w:space="1" w:color="auto"/>
              </w:divBdr>
            </w:div>
            <w:div w:id="680400153">
              <w:marLeft w:val="0"/>
              <w:marRight w:val="0"/>
              <w:marTop w:val="0"/>
              <w:marBottom w:val="0"/>
              <w:divBdr>
                <w:top w:val="inset" w:sz="2" w:space="0" w:color="auto"/>
                <w:left w:val="inset" w:sz="2" w:space="1" w:color="auto"/>
                <w:bottom w:val="inset" w:sz="2" w:space="0" w:color="auto"/>
                <w:right w:val="inset" w:sz="2" w:space="1" w:color="auto"/>
              </w:divBdr>
            </w:div>
            <w:div w:id="1249576169">
              <w:marLeft w:val="0"/>
              <w:marRight w:val="0"/>
              <w:marTop w:val="0"/>
              <w:marBottom w:val="0"/>
              <w:divBdr>
                <w:top w:val="inset" w:sz="2" w:space="0" w:color="auto"/>
                <w:left w:val="inset" w:sz="2" w:space="1" w:color="auto"/>
                <w:bottom w:val="inset" w:sz="2" w:space="0" w:color="auto"/>
                <w:right w:val="inset" w:sz="2" w:space="1" w:color="auto"/>
              </w:divBdr>
            </w:div>
            <w:div w:id="1052053">
              <w:marLeft w:val="0"/>
              <w:marRight w:val="0"/>
              <w:marTop w:val="0"/>
              <w:marBottom w:val="0"/>
              <w:divBdr>
                <w:top w:val="inset" w:sz="2" w:space="0" w:color="auto"/>
                <w:left w:val="inset" w:sz="2" w:space="1" w:color="auto"/>
                <w:bottom w:val="inset" w:sz="2" w:space="0" w:color="auto"/>
                <w:right w:val="inset" w:sz="2" w:space="1" w:color="auto"/>
              </w:divBdr>
            </w:div>
            <w:div w:id="7803592">
              <w:marLeft w:val="0"/>
              <w:marRight w:val="0"/>
              <w:marTop w:val="0"/>
              <w:marBottom w:val="0"/>
              <w:divBdr>
                <w:top w:val="inset" w:sz="2" w:space="0" w:color="auto"/>
                <w:left w:val="inset" w:sz="2" w:space="1" w:color="auto"/>
                <w:bottom w:val="inset" w:sz="2" w:space="0" w:color="auto"/>
                <w:right w:val="inset" w:sz="2" w:space="1" w:color="auto"/>
              </w:divBdr>
            </w:div>
            <w:div w:id="1620455005">
              <w:marLeft w:val="0"/>
              <w:marRight w:val="0"/>
              <w:marTop w:val="0"/>
              <w:marBottom w:val="0"/>
              <w:divBdr>
                <w:top w:val="inset" w:sz="2" w:space="0" w:color="auto"/>
                <w:left w:val="inset" w:sz="2" w:space="1" w:color="auto"/>
                <w:bottom w:val="inset" w:sz="2" w:space="0" w:color="auto"/>
                <w:right w:val="inset" w:sz="2" w:space="1" w:color="auto"/>
              </w:divBdr>
            </w:div>
            <w:div w:id="58524226">
              <w:marLeft w:val="0"/>
              <w:marRight w:val="0"/>
              <w:marTop w:val="0"/>
              <w:marBottom w:val="0"/>
              <w:divBdr>
                <w:top w:val="inset" w:sz="2" w:space="0" w:color="auto"/>
                <w:left w:val="inset" w:sz="2" w:space="1" w:color="auto"/>
                <w:bottom w:val="inset" w:sz="2" w:space="0" w:color="auto"/>
                <w:right w:val="inset" w:sz="2" w:space="1" w:color="auto"/>
              </w:divBdr>
            </w:div>
            <w:div w:id="1506746948">
              <w:marLeft w:val="0"/>
              <w:marRight w:val="0"/>
              <w:marTop w:val="0"/>
              <w:marBottom w:val="0"/>
              <w:divBdr>
                <w:top w:val="inset" w:sz="2" w:space="0" w:color="auto"/>
                <w:left w:val="inset" w:sz="2" w:space="1" w:color="auto"/>
                <w:bottom w:val="inset" w:sz="2" w:space="0" w:color="auto"/>
                <w:right w:val="inset" w:sz="2" w:space="1" w:color="auto"/>
              </w:divBdr>
            </w:div>
            <w:div w:id="201471894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0343"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docs.cntd.ru/document/901872984"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01872984" TargetMode="External"/><Relationship Id="rId11" Type="http://schemas.openxmlformats.org/officeDocument/2006/relationships/image" Target="media/image1.jpeg"/><Relationship Id="rId5" Type="http://schemas.openxmlformats.org/officeDocument/2006/relationships/hyperlink" Target="http://docs.cntd.ru/document/902161726" TargetMode="External"/><Relationship Id="rId15" Type="http://schemas.openxmlformats.org/officeDocument/2006/relationships/fontTable" Target="fontTable.xml"/><Relationship Id="rId10" Type="http://schemas.openxmlformats.org/officeDocument/2006/relationships/hyperlink" Target="http://docs.cntd.ru/document/902130343" TargetMode="External"/><Relationship Id="rId4" Type="http://schemas.openxmlformats.org/officeDocument/2006/relationships/hyperlink" Target="http://docs.cntd.ru/document/901872984" TargetMode="External"/><Relationship Id="rId9" Type="http://schemas.openxmlformats.org/officeDocument/2006/relationships/hyperlink" Target="http://docs.cntd.ru/document/902130343"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153</Pages>
  <Words>51175</Words>
  <Characters>291702</Characters>
  <Application>Microsoft Office Word</Application>
  <DocSecurity>0</DocSecurity>
  <Lines>2430</Lines>
  <Paragraphs>684</Paragraphs>
  <ScaleCrop>false</ScaleCrop>
  <Company/>
  <LinksUpToDate>false</LinksUpToDate>
  <CharactersWithSpaces>342193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saljeri 92</dc:creator>
  <cp:keywords/>
  <dc:description/>
  <cp:lastModifiedBy>saljeri 92</cp:lastModifiedBy>
  <cp:revision>1</cp:revision>
  <dcterms:created xsi:type="dcterms:W3CDTF">2019-11-21T05:28:00Z</dcterms:created>
  <dcterms:modified xsi:type="dcterms:W3CDTF">2019-11-21T05:29:00Z</dcterms:modified>
</cp:coreProperties>
</file>